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9CDFF">
      <w:pPr>
        <w:jc w:val="center"/>
        <w:rPr>
          <w:rFonts w:hint="eastAsia" w:asciiTheme="minorEastAsia" w:hAnsiTheme="minorEastAsia"/>
          <w:snapToGrid w:val="0"/>
          <w:sz w:val="30"/>
          <w:szCs w:val="30"/>
        </w:rPr>
      </w:pPr>
      <w:r>
        <w:rPr>
          <w:rFonts w:hint="eastAsia" w:asciiTheme="minorEastAsia" w:hAnsiTheme="minorEastAsia"/>
          <w:snapToGrid w:val="0"/>
          <w:sz w:val="30"/>
          <w:szCs w:val="30"/>
        </w:rPr>
        <w:t>采购需求</w:t>
      </w:r>
    </w:p>
    <w:p w14:paraId="0C87A9C3">
      <w:pPr>
        <w:pStyle w:val="2"/>
        <w:rPr>
          <w:rFonts w:hint="default" w:eastAsiaTheme="minorEastAsia"/>
          <w:sz w:val="24"/>
          <w:szCs w:val="24"/>
          <w:lang w:val="en-US" w:eastAsia="zh-CN"/>
        </w:rPr>
      </w:pPr>
      <w:r>
        <w:rPr>
          <w:rFonts w:hint="eastAsia" w:asciiTheme="minorEastAsia" w:hAnsiTheme="minorEastAsia"/>
          <w:snapToGrid w:val="0"/>
          <w:sz w:val="24"/>
          <w:szCs w:val="24"/>
          <w:lang w:val="en-US" w:eastAsia="zh-CN"/>
        </w:rPr>
        <w:t>一、技术参数</w:t>
      </w:r>
    </w:p>
    <w:tbl>
      <w:tblPr>
        <w:tblStyle w:val="15"/>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5003"/>
        <w:gridCol w:w="759"/>
        <w:gridCol w:w="1031"/>
      </w:tblGrid>
      <w:tr w14:paraId="32FF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gridSpan w:val="4"/>
            <w:noWrap/>
            <w:vAlign w:val="center"/>
          </w:tcPr>
          <w:p w14:paraId="7AA38B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采购需求汇总情况表</w:t>
            </w:r>
          </w:p>
        </w:tc>
      </w:tr>
      <w:tr w14:paraId="60D4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33AC299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设备类型</w:t>
            </w:r>
          </w:p>
        </w:tc>
        <w:tc>
          <w:tcPr>
            <w:tcW w:w="0" w:type="auto"/>
            <w:noWrap/>
            <w:vAlign w:val="center"/>
          </w:tcPr>
          <w:p w14:paraId="3CAD613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产品描述</w:t>
            </w:r>
          </w:p>
        </w:tc>
        <w:tc>
          <w:tcPr>
            <w:tcW w:w="0" w:type="auto"/>
            <w:noWrap/>
            <w:vAlign w:val="center"/>
          </w:tcPr>
          <w:p w14:paraId="6BC2477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产品数量</w:t>
            </w:r>
          </w:p>
        </w:tc>
        <w:tc>
          <w:tcPr>
            <w:tcW w:w="0" w:type="auto"/>
            <w:noWrap/>
            <w:vAlign w:val="center"/>
          </w:tcPr>
          <w:p w14:paraId="664DF3B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价格（万元）</w:t>
            </w:r>
          </w:p>
        </w:tc>
      </w:tr>
      <w:tr w14:paraId="438F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gridSpan w:val="2"/>
            <w:noWrap/>
            <w:vAlign w:val="center"/>
          </w:tcPr>
          <w:p w14:paraId="5B5DAAA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val="en-US" w:eastAsia="zh-CN"/>
              </w:rPr>
              <w:t>A</w:t>
            </w:r>
            <w:r>
              <w:rPr>
                <w:rFonts w:hint="eastAsia" w:ascii="宋体" w:hAnsi="宋体" w:eastAsia="宋体" w:cs="宋体"/>
                <w:color w:val="000000"/>
                <w:kern w:val="0"/>
                <w:szCs w:val="21"/>
              </w:rPr>
              <w:t>、楼层汇聚交换机等：提供1年基本维保，1年5次快速更换5x10xNBD</w:t>
            </w:r>
          </w:p>
        </w:tc>
        <w:tc>
          <w:tcPr>
            <w:tcW w:w="0" w:type="auto"/>
            <w:noWrap/>
            <w:vAlign w:val="center"/>
          </w:tcPr>
          <w:p w14:paraId="23A83476">
            <w:pPr>
              <w:jc w:val="center"/>
              <w:rPr>
                <w:rFonts w:hint="eastAsia" w:ascii="宋体" w:hAnsi="宋体" w:eastAsia="宋体" w:cs="宋体"/>
                <w:color w:val="000000"/>
                <w:szCs w:val="21"/>
              </w:rPr>
            </w:pPr>
          </w:p>
        </w:tc>
        <w:tc>
          <w:tcPr>
            <w:tcW w:w="0" w:type="auto"/>
            <w:vMerge w:val="restart"/>
            <w:noWrap/>
            <w:vAlign w:val="center"/>
          </w:tcPr>
          <w:p w14:paraId="7B5C1331">
            <w:pPr>
              <w:jc w:val="center"/>
              <w:rPr>
                <w:rFonts w:hint="eastAsia" w:ascii="宋体" w:hAnsi="宋体" w:eastAsia="宋体" w:cs="宋体"/>
                <w:color w:val="000000"/>
                <w:szCs w:val="21"/>
              </w:rPr>
            </w:pPr>
          </w:p>
        </w:tc>
      </w:tr>
      <w:tr w14:paraId="59E0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084EECE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SFP-GE-SX-MM850-A</w:t>
            </w:r>
          </w:p>
        </w:tc>
        <w:tc>
          <w:tcPr>
            <w:tcW w:w="0" w:type="auto"/>
            <w:noWrap/>
            <w:vAlign w:val="center"/>
          </w:tcPr>
          <w:p w14:paraId="1FE9FAC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光模块-SFP-GE-多模模块-(850nm,0.55km,LC)</w:t>
            </w:r>
          </w:p>
        </w:tc>
        <w:tc>
          <w:tcPr>
            <w:tcW w:w="0" w:type="auto"/>
            <w:noWrap/>
            <w:vAlign w:val="center"/>
          </w:tcPr>
          <w:p w14:paraId="7574CF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36</w:t>
            </w:r>
          </w:p>
        </w:tc>
        <w:tc>
          <w:tcPr>
            <w:tcW w:w="0" w:type="auto"/>
            <w:vMerge w:val="continue"/>
            <w:noWrap/>
            <w:vAlign w:val="center"/>
          </w:tcPr>
          <w:p w14:paraId="3A74FA46">
            <w:pPr>
              <w:jc w:val="center"/>
              <w:rPr>
                <w:rFonts w:hint="eastAsia" w:ascii="宋体" w:hAnsi="宋体" w:eastAsia="宋体" w:cs="宋体"/>
                <w:color w:val="000000"/>
                <w:szCs w:val="21"/>
              </w:rPr>
            </w:pPr>
          </w:p>
        </w:tc>
      </w:tr>
      <w:tr w14:paraId="6403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054F0D02">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LS-5120-24P-EI-H3</w:t>
            </w:r>
          </w:p>
        </w:tc>
        <w:tc>
          <w:tcPr>
            <w:tcW w:w="0" w:type="auto"/>
            <w:noWrap/>
            <w:vAlign w:val="center"/>
          </w:tcPr>
          <w:p w14:paraId="71F2AF2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H3C S5120-24P-EI-以太网交换机主机(24GE+4SFP Combo)</w:t>
            </w:r>
          </w:p>
        </w:tc>
        <w:tc>
          <w:tcPr>
            <w:tcW w:w="0" w:type="auto"/>
            <w:noWrap/>
            <w:vAlign w:val="center"/>
          </w:tcPr>
          <w:p w14:paraId="161E14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w:t>
            </w:r>
          </w:p>
        </w:tc>
        <w:tc>
          <w:tcPr>
            <w:tcW w:w="0" w:type="auto"/>
            <w:vMerge w:val="continue"/>
            <w:noWrap/>
            <w:vAlign w:val="center"/>
          </w:tcPr>
          <w:p w14:paraId="56D440BB">
            <w:pPr>
              <w:jc w:val="center"/>
              <w:rPr>
                <w:rFonts w:hint="eastAsia" w:ascii="宋体" w:hAnsi="宋体" w:eastAsia="宋体" w:cs="宋体"/>
                <w:color w:val="000000"/>
                <w:szCs w:val="21"/>
              </w:rPr>
            </w:pPr>
          </w:p>
        </w:tc>
      </w:tr>
      <w:tr w14:paraId="672C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2BFE8DB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LS-5120-28C-PWR-EI-H3</w:t>
            </w:r>
          </w:p>
        </w:tc>
        <w:tc>
          <w:tcPr>
            <w:tcW w:w="0" w:type="auto"/>
            <w:noWrap/>
            <w:vAlign w:val="center"/>
          </w:tcPr>
          <w:p w14:paraId="6BDA1AA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H3C S5120-28C-PWR-EI-以太网交换机主机(24GE+4SFP Combo+2Slot+POE Plus)</w:t>
            </w:r>
          </w:p>
        </w:tc>
        <w:tc>
          <w:tcPr>
            <w:tcW w:w="0" w:type="auto"/>
            <w:noWrap/>
            <w:vAlign w:val="center"/>
          </w:tcPr>
          <w:p w14:paraId="4E6872B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w:t>
            </w:r>
          </w:p>
        </w:tc>
        <w:tc>
          <w:tcPr>
            <w:tcW w:w="0" w:type="auto"/>
            <w:vMerge w:val="continue"/>
            <w:noWrap/>
            <w:vAlign w:val="center"/>
          </w:tcPr>
          <w:p w14:paraId="1426A25E">
            <w:pPr>
              <w:jc w:val="center"/>
              <w:rPr>
                <w:rFonts w:hint="eastAsia" w:ascii="宋体" w:hAnsi="宋体" w:eastAsia="宋体" w:cs="宋体"/>
                <w:color w:val="000000"/>
                <w:szCs w:val="21"/>
              </w:rPr>
            </w:pPr>
          </w:p>
        </w:tc>
      </w:tr>
      <w:tr w14:paraId="2156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5A5DF37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LS-5120-48P-EI-H3</w:t>
            </w:r>
          </w:p>
        </w:tc>
        <w:tc>
          <w:tcPr>
            <w:tcW w:w="0" w:type="auto"/>
            <w:noWrap/>
            <w:vAlign w:val="center"/>
          </w:tcPr>
          <w:p w14:paraId="7A84F9B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H3C S5120-48P-EI-以太网交换机主机(48GE+4SFP Combo)</w:t>
            </w:r>
          </w:p>
        </w:tc>
        <w:tc>
          <w:tcPr>
            <w:tcW w:w="0" w:type="auto"/>
            <w:noWrap/>
            <w:vAlign w:val="center"/>
          </w:tcPr>
          <w:p w14:paraId="0D995FE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28</w:t>
            </w:r>
          </w:p>
        </w:tc>
        <w:tc>
          <w:tcPr>
            <w:tcW w:w="0" w:type="auto"/>
            <w:vMerge w:val="continue"/>
            <w:noWrap/>
            <w:vAlign w:val="center"/>
          </w:tcPr>
          <w:p w14:paraId="5961B015">
            <w:pPr>
              <w:jc w:val="center"/>
              <w:rPr>
                <w:rFonts w:hint="eastAsia" w:ascii="宋体" w:hAnsi="宋体" w:eastAsia="宋体" w:cs="宋体"/>
                <w:color w:val="000000"/>
                <w:szCs w:val="21"/>
              </w:rPr>
            </w:pPr>
          </w:p>
        </w:tc>
      </w:tr>
      <w:tr w14:paraId="7509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01FD0F99">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EWP-WA2620i-AGN-FIT</w:t>
            </w:r>
          </w:p>
        </w:tc>
        <w:tc>
          <w:tcPr>
            <w:tcW w:w="0" w:type="auto"/>
            <w:noWrap/>
            <w:vAlign w:val="center"/>
          </w:tcPr>
          <w:p w14:paraId="0EFA769C">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H3C WA2620i-AGN-802.11n无线局域网智能室内放装型2.4/5GHz双频接入点-FIT</w:t>
            </w:r>
          </w:p>
        </w:tc>
        <w:tc>
          <w:tcPr>
            <w:tcW w:w="0" w:type="auto"/>
            <w:noWrap/>
            <w:vAlign w:val="center"/>
          </w:tcPr>
          <w:p w14:paraId="77B434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70</w:t>
            </w:r>
          </w:p>
        </w:tc>
        <w:tc>
          <w:tcPr>
            <w:tcW w:w="0" w:type="auto"/>
            <w:vMerge w:val="continue"/>
            <w:noWrap/>
            <w:vAlign w:val="center"/>
          </w:tcPr>
          <w:p w14:paraId="2492E267">
            <w:pPr>
              <w:jc w:val="center"/>
              <w:rPr>
                <w:rFonts w:hint="eastAsia" w:ascii="宋体" w:hAnsi="宋体" w:eastAsia="宋体" w:cs="宋体"/>
                <w:color w:val="000000"/>
                <w:szCs w:val="21"/>
              </w:rPr>
            </w:pPr>
          </w:p>
        </w:tc>
      </w:tr>
      <w:tr w14:paraId="616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gridSpan w:val="2"/>
            <w:noWrap/>
            <w:vAlign w:val="center"/>
          </w:tcPr>
          <w:p w14:paraId="29A8F7B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val="en-US" w:eastAsia="zh-CN"/>
              </w:rPr>
              <w:t>B</w:t>
            </w:r>
            <w:r>
              <w:rPr>
                <w:rFonts w:hint="eastAsia" w:ascii="宋体" w:hAnsi="宋体" w:eastAsia="宋体" w:cs="宋体"/>
                <w:color w:val="000000"/>
                <w:kern w:val="0"/>
                <w:szCs w:val="21"/>
              </w:rPr>
              <w:t>、安全设备维保，整机一年原厂升级维保</w:t>
            </w:r>
          </w:p>
        </w:tc>
        <w:tc>
          <w:tcPr>
            <w:tcW w:w="0" w:type="auto"/>
            <w:noWrap/>
            <w:vAlign w:val="center"/>
          </w:tcPr>
          <w:p w14:paraId="266B5B47">
            <w:pPr>
              <w:jc w:val="center"/>
              <w:rPr>
                <w:rFonts w:hint="eastAsia" w:ascii="宋体" w:hAnsi="宋体" w:eastAsia="宋体" w:cs="宋体"/>
                <w:color w:val="000000"/>
                <w:szCs w:val="21"/>
              </w:rPr>
            </w:pPr>
          </w:p>
        </w:tc>
        <w:tc>
          <w:tcPr>
            <w:tcW w:w="0" w:type="auto"/>
            <w:noWrap/>
            <w:vAlign w:val="center"/>
          </w:tcPr>
          <w:p w14:paraId="1830EB34">
            <w:pPr>
              <w:rPr>
                <w:rFonts w:hint="eastAsia" w:ascii="宋体" w:hAnsi="宋体" w:eastAsia="宋体" w:cs="宋体"/>
                <w:color w:val="000000"/>
                <w:szCs w:val="21"/>
              </w:rPr>
            </w:pPr>
          </w:p>
        </w:tc>
      </w:tr>
      <w:tr w14:paraId="6C59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0" w:type="auto"/>
            <w:noWrap/>
            <w:vAlign w:val="center"/>
          </w:tcPr>
          <w:p w14:paraId="58F9F4D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出口防火墙</w:t>
            </w:r>
          </w:p>
        </w:tc>
        <w:tc>
          <w:tcPr>
            <w:tcW w:w="0" w:type="auto"/>
            <w:vAlign w:val="center"/>
          </w:tcPr>
          <w:p w14:paraId="3172AF5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深信服 AF-2000-B2132含软件升级、产品质保、深信服云智订阅软件（含安全特征库和URL库）</w:t>
            </w:r>
          </w:p>
        </w:tc>
        <w:tc>
          <w:tcPr>
            <w:tcW w:w="0" w:type="auto"/>
            <w:noWrap/>
            <w:vAlign w:val="center"/>
          </w:tcPr>
          <w:p w14:paraId="2436BAF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4</w:t>
            </w:r>
          </w:p>
        </w:tc>
        <w:tc>
          <w:tcPr>
            <w:tcW w:w="0" w:type="auto"/>
            <w:vMerge w:val="restart"/>
            <w:noWrap/>
            <w:vAlign w:val="center"/>
          </w:tcPr>
          <w:p w14:paraId="278795B1">
            <w:pPr>
              <w:widowControl/>
              <w:jc w:val="center"/>
              <w:textAlignment w:val="center"/>
              <w:rPr>
                <w:rFonts w:hint="eastAsia" w:ascii="宋体" w:hAnsi="宋体" w:eastAsia="宋体" w:cs="宋体"/>
                <w:color w:val="000000"/>
                <w:szCs w:val="21"/>
              </w:rPr>
            </w:pPr>
          </w:p>
        </w:tc>
      </w:tr>
      <w:tr w14:paraId="23A6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438CE8C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负载均衡</w:t>
            </w:r>
          </w:p>
        </w:tc>
        <w:tc>
          <w:tcPr>
            <w:tcW w:w="0" w:type="auto"/>
            <w:vAlign w:val="center"/>
          </w:tcPr>
          <w:p w14:paraId="40429CCB">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深信服 AD-1000-B1800含软件升级、产品质保</w:t>
            </w:r>
          </w:p>
        </w:tc>
        <w:tc>
          <w:tcPr>
            <w:tcW w:w="0" w:type="auto"/>
            <w:noWrap/>
            <w:vAlign w:val="center"/>
          </w:tcPr>
          <w:p w14:paraId="1171BD7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w:t>
            </w:r>
          </w:p>
        </w:tc>
        <w:tc>
          <w:tcPr>
            <w:tcW w:w="0" w:type="auto"/>
            <w:vMerge w:val="continue"/>
            <w:noWrap/>
            <w:vAlign w:val="center"/>
          </w:tcPr>
          <w:p w14:paraId="6B5359E1">
            <w:pPr>
              <w:jc w:val="center"/>
              <w:rPr>
                <w:rFonts w:hint="eastAsia" w:ascii="宋体" w:hAnsi="宋体" w:eastAsia="宋体" w:cs="宋体"/>
                <w:color w:val="000000"/>
                <w:szCs w:val="21"/>
              </w:rPr>
            </w:pPr>
          </w:p>
        </w:tc>
      </w:tr>
      <w:tr w14:paraId="106A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gridSpan w:val="2"/>
            <w:noWrap/>
            <w:vAlign w:val="center"/>
          </w:tcPr>
          <w:p w14:paraId="505CBCF6">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天融信网闸2台</w:t>
            </w:r>
          </w:p>
        </w:tc>
        <w:tc>
          <w:tcPr>
            <w:tcW w:w="0" w:type="auto"/>
            <w:noWrap/>
            <w:vAlign w:val="center"/>
          </w:tcPr>
          <w:p w14:paraId="0A301A0E">
            <w:pPr>
              <w:jc w:val="center"/>
              <w:rPr>
                <w:rFonts w:hint="eastAsia" w:ascii="宋体" w:hAnsi="宋体" w:eastAsia="宋体" w:cs="宋体"/>
                <w:color w:val="000000"/>
                <w:szCs w:val="21"/>
              </w:rPr>
            </w:pPr>
          </w:p>
        </w:tc>
        <w:tc>
          <w:tcPr>
            <w:tcW w:w="0" w:type="auto"/>
            <w:noWrap/>
            <w:vAlign w:val="center"/>
          </w:tcPr>
          <w:p w14:paraId="3408D8DA">
            <w:pPr>
              <w:rPr>
                <w:rFonts w:hint="eastAsia" w:ascii="宋体" w:hAnsi="宋体" w:eastAsia="宋体" w:cs="宋体"/>
                <w:color w:val="000000"/>
                <w:szCs w:val="21"/>
              </w:rPr>
            </w:pPr>
          </w:p>
        </w:tc>
      </w:tr>
      <w:tr w14:paraId="4FFC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gridSpan w:val="2"/>
            <w:noWrap/>
            <w:vAlign w:val="center"/>
          </w:tcPr>
          <w:p w14:paraId="35CBC4F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val="en-US" w:eastAsia="zh-CN"/>
              </w:rPr>
              <w:t>C</w:t>
            </w:r>
            <w:r>
              <w:rPr>
                <w:rFonts w:hint="eastAsia" w:ascii="宋体" w:hAnsi="宋体" w:eastAsia="宋体" w:cs="宋体"/>
                <w:color w:val="000000"/>
                <w:kern w:val="0"/>
                <w:szCs w:val="21"/>
              </w:rPr>
              <w:t>、医院网络设备漏洞扫描服务</w:t>
            </w:r>
          </w:p>
        </w:tc>
        <w:tc>
          <w:tcPr>
            <w:tcW w:w="0" w:type="auto"/>
            <w:noWrap/>
            <w:vAlign w:val="center"/>
          </w:tcPr>
          <w:p w14:paraId="0553608B">
            <w:pPr>
              <w:jc w:val="center"/>
              <w:rPr>
                <w:rFonts w:hint="eastAsia" w:ascii="宋体" w:hAnsi="宋体" w:eastAsia="宋体" w:cs="宋体"/>
                <w:color w:val="000000"/>
                <w:szCs w:val="21"/>
              </w:rPr>
            </w:pPr>
          </w:p>
        </w:tc>
        <w:tc>
          <w:tcPr>
            <w:tcW w:w="0" w:type="auto"/>
            <w:noWrap/>
            <w:vAlign w:val="center"/>
          </w:tcPr>
          <w:p w14:paraId="0E67EADD">
            <w:pPr>
              <w:rPr>
                <w:rFonts w:hint="eastAsia" w:ascii="宋体" w:hAnsi="宋体" w:eastAsia="宋体" w:cs="宋体"/>
                <w:color w:val="000000"/>
                <w:szCs w:val="21"/>
              </w:rPr>
            </w:pPr>
          </w:p>
        </w:tc>
      </w:tr>
      <w:tr w14:paraId="3FB4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0" w:type="auto"/>
            <w:noWrap/>
            <w:vAlign w:val="center"/>
          </w:tcPr>
          <w:p w14:paraId="5C9E90C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漏洞扫描服务</w:t>
            </w:r>
          </w:p>
        </w:tc>
        <w:tc>
          <w:tcPr>
            <w:tcW w:w="0" w:type="auto"/>
            <w:vAlign w:val="center"/>
          </w:tcPr>
          <w:p w14:paraId="7A7FC3E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使用系统漏洞扫描工具对 数据库、操作系统、中间件等进行漏洞、端口、弱口令扫描，扫描完成后由技术人员对漏洞进行确认测试，提出整改建议，协助开发人员整改。每季度一次，全年共四次，每季度提交书面扫描报告及安全加固建议等</w:t>
            </w:r>
          </w:p>
        </w:tc>
        <w:tc>
          <w:tcPr>
            <w:tcW w:w="0" w:type="auto"/>
            <w:noWrap/>
            <w:vAlign w:val="center"/>
          </w:tcPr>
          <w:p w14:paraId="0448F76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w:t>
            </w:r>
          </w:p>
        </w:tc>
        <w:tc>
          <w:tcPr>
            <w:tcW w:w="0" w:type="auto"/>
            <w:noWrap/>
            <w:vAlign w:val="center"/>
          </w:tcPr>
          <w:p w14:paraId="45CFFDED">
            <w:pPr>
              <w:widowControl/>
              <w:jc w:val="center"/>
              <w:textAlignment w:val="center"/>
              <w:rPr>
                <w:rFonts w:hint="eastAsia" w:ascii="宋体" w:hAnsi="宋体" w:eastAsia="宋体" w:cs="宋体"/>
                <w:color w:val="000000"/>
                <w:szCs w:val="21"/>
              </w:rPr>
            </w:pPr>
          </w:p>
        </w:tc>
      </w:tr>
      <w:tr w14:paraId="63B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0" w:type="auto"/>
            <w:noWrap/>
            <w:vAlign w:val="center"/>
          </w:tcPr>
          <w:p w14:paraId="55933F7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合计</w:t>
            </w:r>
          </w:p>
        </w:tc>
        <w:tc>
          <w:tcPr>
            <w:tcW w:w="0" w:type="auto"/>
            <w:noWrap/>
            <w:vAlign w:val="center"/>
          </w:tcPr>
          <w:p w14:paraId="062A30F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以上项目合计费用</w:t>
            </w:r>
          </w:p>
        </w:tc>
        <w:tc>
          <w:tcPr>
            <w:tcW w:w="0" w:type="auto"/>
            <w:noWrap/>
            <w:vAlign w:val="center"/>
          </w:tcPr>
          <w:p w14:paraId="0B8DB804">
            <w:pPr>
              <w:jc w:val="center"/>
              <w:rPr>
                <w:rFonts w:hint="eastAsia" w:ascii="宋体" w:hAnsi="宋体" w:eastAsia="宋体" w:cs="宋体"/>
                <w:color w:val="000000"/>
                <w:szCs w:val="21"/>
              </w:rPr>
            </w:pPr>
          </w:p>
        </w:tc>
        <w:tc>
          <w:tcPr>
            <w:tcW w:w="0" w:type="auto"/>
            <w:noWrap/>
            <w:vAlign w:val="center"/>
          </w:tcPr>
          <w:p w14:paraId="5B3A8E4B">
            <w:pPr>
              <w:widowControl/>
              <w:jc w:val="center"/>
              <w:textAlignment w:val="center"/>
              <w:rPr>
                <w:rFonts w:hint="eastAsia" w:ascii="宋体" w:hAnsi="宋体" w:eastAsia="宋体" w:cs="宋体"/>
                <w:color w:val="000000"/>
                <w:szCs w:val="21"/>
              </w:rPr>
            </w:pPr>
          </w:p>
        </w:tc>
      </w:tr>
    </w:tbl>
    <w:p w14:paraId="41B6DECA">
      <w:pPr>
        <w:pStyle w:val="21"/>
        <w:spacing w:line="560" w:lineRule="exact"/>
        <w:ind w:firstLine="210" w:firstLineChars="100"/>
        <w:outlineLvl w:val="0"/>
        <w:rPr>
          <w:rFonts w:hint="eastAsia" w:cs="Times New Roman" w:asciiTheme="minorEastAsia" w:hAnsiTheme="minorEastAsia"/>
          <w:b w:val="0"/>
          <w:bCs/>
          <w:szCs w:val="21"/>
        </w:rPr>
      </w:pPr>
      <w:r>
        <w:rPr>
          <w:rFonts w:hint="eastAsia" w:cs="Times New Roman" w:asciiTheme="minorEastAsia" w:hAnsiTheme="minorEastAsia"/>
          <w:b w:val="0"/>
          <w:bCs/>
          <w:szCs w:val="21"/>
          <w:lang w:val="en-US" w:eastAsia="zh-CN"/>
        </w:rPr>
        <w:t>二、商务</w:t>
      </w:r>
      <w:r>
        <w:rPr>
          <w:rFonts w:hint="eastAsia" w:cs="Times New Roman" w:asciiTheme="minorEastAsia" w:hAnsiTheme="minorEastAsia"/>
          <w:b w:val="0"/>
          <w:bCs/>
          <w:szCs w:val="21"/>
        </w:rPr>
        <w:t>相关要求</w:t>
      </w:r>
    </w:p>
    <w:p w14:paraId="7A4980C9">
      <w:pPr>
        <w:spacing w:line="360" w:lineRule="auto"/>
        <w:rPr>
          <w:rFonts w:hint="eastAsia" w:ascii="宋体" w:hAnsi="宋体"/>
          <w:szCs w:val="21"/>
        </w:rPr>
      </w:pPr>
      <w:r>
        <w:rPr>
          <w:rFonts w:ascii="宋体" w:hAnsi="宋体"/>
          <w:szCs w:val="21"/>
        </w:rPr>
        <w:t>A</w:t>
      </w:r>
      <w:r>
        <w:rPr>
          <w:rFonts w:hint="eastAsia" w:ascii="宋体" w:hAnsi="宋体"/>
          <w:szCs w:val="21"/>
        </w:rPr>
        <w:t xml:space="preserve">、对核心交换机H3C </w:t>
      </w:r>
      <w:r>
        <w:rPr>
          <w:rFonts w:ascii="宋体" w:hAnsi="宋体"/>
          <w:szCs w:val="21"/>
        </w:rPr>
        <w:t>LS-10508-V</w:t>
      </w:r>
      <w:r>
        <w:rPr>
          <w:rFonts w:hint="eastAsia" w:ascii="宋体" w:hAnsi="宋体"/>
          <w:szCs w:val="21"/>
        </w:rPr>
        <w:t xml:space="preserve">、1台H3C </w:t>
      </w:r>
      <w:r>
        <w:rPr>
          <w:rFonts w:ascii="宋体" w:hAnsi="宋体"/>
          <w:szCs w:val="21"/>
        </w:rPr>
        <w:t>RT-MSR5680</w:t>
      </w:r>
      <w:r>
        <w:rPr>
          <w:rFonts w:hint="eastAsia" w:ascii="宋体" w:hAnsi="宋体"/>
          <w:szCs w:val="21"/>
        </w:rPr>
        <w:t>路由器整机一年维保、4台防火墙及2台负载均衡提供原厂软件升级、产品质保、深信服云智订阅软件（含安全特征库和URL库）升级，楼层交换机等设备提供一年维保。</w:t>
      </w:r>
    </w:p>
    <w:p w14:paraId="574756E5">
      <w:pPr>
        <w:spacing w:line="360" w:lineRule="auto"/>
        <w:rPr>
          <w:rFonts w:hint="eastAsia" w:ascii="宋体" w:hAnsi="宋体"/>
          <w:szCs w:val="21"/>
        </w:rPr>
      </w:pPr>
      <w:r>
        <w:rPr>
          <w:rFonts w:hint="eastAsia" w:ascii="宋体" w:hAnsi="宋体"/>
          <w:szCs w:val="21"/>
        </w:rPr>
        <w:t>B、中标</w:t>
      </w:r>
      <w:r>
        <w:rPr>
          <w:rFonts w:ascii="宋体" w:hAnsi="宋体"/>
          <w:szCs w:val="21"/>
        </w:rPr>
        <w:t>服务商需</w:t>
      </w:r>
      <w:r>
        <w:rPr>
          <w:rFonts w:hint="eastAsia" w:ascii="宋体" w:hAnsi="宋体"/>
          <w:szCs w:val="21"/>
        </w:rPr>
        <w:t>指派服务工程师提供每季度一次的现场检查服务，并在检查结束后的提供检查报告给院方，另服务周期结束给院方出具年度服务报告</w:t>
      </w:r>
      <w:r>
        <w:rPr>
          <w:rFonts w:ascii="宋体" w:hAnsi="宋体"/>
          <w:szCs w:val="21"/>
        </w:rPr>
        <w:t>。</w:t>
      </w:r>
    </w:p>
    <w:p w14:paraId="7B24C56E">
      <w:pPr>
        <w:spacing w:line="360" w:lineRule="auto"/>
        <w:rPr>
          <w:rFonts w:hint="eastAsia" w:ascii="宋体" w:hAnsi="宋体"/>
          <w:szCs w:val="21"/>
        </w:rPr>
      </w:pPr>
      <w:r>
        <w:rPr>
          <w:rFonts w:hint="eastAsia" w:ascii="宋体" w:hAnsi="宋体"/>
          <w:szCs w:val="21"/>
        </w:rPr>
        <w:t>C、对系统运行正常、仅受到有限的影响或未受到严重影响的</w:t>
      </w:r>
      <w:r>
        <w:rPr>
          <w:rFonts w:ascii="宋体" w:hAnsi="宋体"/>
          <w:szCs w:val="21"/>
        </w:rPr>
        <w:t>故障</w:t>
      </w:r>
      <w:r>
        <w:rPr>
          <w:rFonts w:hint="eastAsia" w:ascii="宋体" w:hAnsi="宋体"/>
          <w:szCs w:val="21"/>
        </w:rPr>
        <w:t>，接到支持需求必须在5分钟内做出回应；中标服务商必须成立至少5人的应急服务小组，以应对特殊紧急情况并有相应的应急机制预案。</w:t>
      </w:r>
    </w:p>
    <w:p w14:paraId="2EE77108">
      <w:pPr>
        <w:spacing w:line="360" w:lineRule="auto"/>
        <w:rPr>
          <w:rFonts w:hint="eastAsia" w:ascii="宋体" w:hAnsi="宋体"/>
          <w:szCs w:val="21"/>
        </w:rPr>
      </w:pPr>
      <w:r>
        <w:rPr>
          <w:rFonts w:hint="eastAsia" w:ascii="宋体" w:hAnsi="宋体"/>
          <w:szCs w:val="21"/>
        </w:rPr>
        <w:t>D、对系统故障或与系统相关联的系统故障，服务商方在接到院方故障申告电话后应于</w:t>
      </w:r>
      <w:r>
        <w:rPr>
          <w:rFonts w:ascii="宋体" w:hAnsi="宋体"/>
          <w:szCs w:val="21"/>
        </w:rPr>
        <w:t>5</w:t>
      </w:r>
      <w:r>
        <w:rPr>
          <w:rFonts w:hint="eastAsia" w:ascii="宋体" w:hAnsi="宋体"/>
          <w:szCs w:val="21"/>
        </w:rPr>
        <w:t>分钟内响应，根据实际发现的故障，进行电话/远程/现场进行相关故障定位和排除，同时</w:t>
      </w:r>
      <w:r>
        <w:rPr>
          <w:rFonts w:ascii="宋体" w:hAnsi="宋体"/>
          <w:szCs w:val="21"/>
        </w:rPr>
        <w:t>安排技术人员</w:t>
      </w:r>
      <w:r>
        <w:rPr>
          <w:rFonts w:hint="eastAsia" w:ascii="宋体" w:hAnsi="宋体"/>
          <w:szCs w:val="21"/>
        </w:rPr>
        <w:t>1小时内</w:t>
      </w:r>
      <w:r>
        <w:rPr>
          <w:rFonts w:ascii="宋体" w:hAnsi="宋体"/>
          <w:szCs w:val="21"/>
        </w:rPr>
        <w:t>到达现场</w:t>
      </w:r>
      <w:r>
        <w:rPr>
          <w:rFonts w:hint="eastAsia" w:ascii="宋体" w:hAnsi="宋体"/>
          <w:szCs w:val="21"/>
        </w:rPr>
        <w:t>，直至系统硬件恢复正常状态。</w:t>
      </w:r>
    </w:p>
    <w:p w14:paraId="70D611A3">
      <w:pPr>
        <w:spacing w:line="360" w:lineRule="auto"/>
        <w:rPr>
          <w:rFonts w:hint="eastAsia" w:ascii="宋体" w:hAnsi="宋体"/>
          <w:szCs w:val="21"/>
        </w:rPr>
      </w:pPr>
      <w:r>
        <w:rPr>
          <w:rFonts w:hint="eastAsia" w:ascii="宋体" w:hAnsi="宋体"/>
          <w:szCs w:val="21"/>
        </w:rPr>
        <w:t>E、服务商在系统恢复正常运行后，应对系统进行跟踪，并分析产生故障的原因，10日内向</w:t>
      </w:r>
      <w:r>
        <w:rPr>
          <w:rFonts w:ascii="宋体" w:hAnsi="宋体"/>
          <w:szCs w:val="21"/>
        </w:rPr>
        <w:t>院方</w:t>
      </w:r>
      <w:r>
        <w:rPr>
          <w:rFonts w:hint="eastAsia" w:ascii="宋体" w:hAnsi="宋体"/>
          <w:szCs w:val="21"/>
        </w:rPr>
        <w:t>提交故障分析报告及解决方案。</w:t>
      </w:r>
    </w:p>
    <w:p w14:paraId="6DC10EE2">
      <w:pPr>
        <w:spacing w:line="360" w:lineRule="auto"/>
        <w:rPr>
          <w:rFonts w:hint="eastAsia" w:ascii="宋体" w:hAnsi="宋体"/>
          <w:szCs w:val="21"/>
        </w:rPr>
      </w:pPr>
      <w:r>
        <w:rPr>
          <w:rFonts w:hint="eastAsia" w:ascii="宋体" w:hAnsi="宋体"/>
          <w:szCs w:val="21"/>
        </w:rPr>
        <w:t>F、现场技术服务内容包括：系统重启支持、系统故障定位、系统故障解决、系统优化实施。</w:t>
      </w:r>
    </w:p>
    <w:p w14:paraId="66F943D1">
      <w:pPr>
        <w:spacing w:line="360" w:lineRule="auto"/>
        <w:rPr>
          <w:rFonts w:hint="eastAsia" w:ascii="宋体" w:hAnsi="宋体"/>
          <w:szCs w:val="21"/>
        </w:rPr>
      </w:pPr>
      <w:r>
        <w:rPr>
          <w:rFonts w:hint="eastAsia" w:ascii="宋体" w:hAnsi="宋体"/>
          <w:szCs w:val="21"/>
        </w:rPr>
        <w:t>G、现场技术支持服务实施步骤要求： 通过现场数据收集--数据分析—提供合理化建议和实施方案—组织实施--报告形成；同时根据系统运行情况和业务运行情况制定改进计划并配合实施改进计划，以及实施后对故障系统进行跟踪分析。</w:t>
      </w:r>
    </w:p>
    <w:p w14:paraId="7B50785E">
      <w:pPr>
        <w:numPr>
          <w:ilvl w:val="0"/>
          <w:numId w:val="1"/>
        </w:numPr>
        <w:snapToGrid w:val="0"/>
        <w:spacing w:line="360" w:lineRule="auto"/>
        <w:ind w:left="-38" w:leftChars="-18" w:firstLine="105" w:firstLineChars="50"/>
        <w:rPr>
          <w:szCs w:val="21"/>
        </w:rPr>
      </w:pPr>
      <w:r>
        <w:rPr>
          <w:rFonts w:ascii="宋体" w:hAnsi="宋体"/>
          <w:szCs w:val="21"/>
        </w:rPr>
        <w:t>协助院方对医院数据中心机房</w:t>
      </w:r>
      <w:r>
        <w:rPr>
          <w:rFonts w:hint="eastAsia" w:ascii="宋体" w:hAnsi="宋体"/>
          <w:szCs w:val="21"/>
        </w:rPr>
        <w:t>设备线路、弱电井线路</w:t>
      </w:r>
      <w:r>
        <w:rPr>
          <w:rFonts w:ascii="宋体" w:hAnsi="宋体"/>
          <w:szCs w:val="21"/>
        </w:rPr>
        <w:t>进行规划和整理。</w:t>
      </w:r>
    </w:p>
    <w:p w14:paraId="20F9943C">
      <w:pPr>
        <w:numPr>
          <w:ilvl w:val="0"/>
          <w:numId w:val="1"/>
        </w:numPr>
        <w:snapToGrid w:val="0"/>
        <w:spacing w:line="360" w:lineRule="auto"/>
        <w:ind w:left="-38" w:leftChars="-18" w:firstLine="105" w:firstLineChars="50"/>
        <w:rPr>
          <w:szCs w:val="21"/>
        </w:rPr>
      </w:pPr>
      <w:r>
        <w:rPr>
          <w:rFonts w:hint="eastAsia"/>
          <w:szCs w:val="21"/>
        </w:rPr>
        <w:t>对院方信息安全加固提出建议：在风险评估之后，根据评估的结果强化信息系统安全防范能力的重要过程。信息安全加固优化服务是基础架构安全服务的实质阶段，参考当前网络和系统现状，为客户信息安全架构的改进或升级提出切实可行的解决方案，在帮助客户实施的同时，提高网络的安全性；提高每一个信息主体的抵抗安全风险的能力。信息系统的加固主要包括三个方面：系统加固、网络设备加固和应用系统加固。</w:t>
      </w:r>
    </w:p>
    <w:p w14:paraId="67ABE48B">
      <w:pPr>
        <w:numPr>
          <w:ilvl w:val="0"/>
          <w:numId w:val="1"/>
        </w:numPr>
        <w:snapToGrid w:val="0"/>
        <w:spacing w:line="360" w:lineRule="auto"/>
        <w:ind w:left="-38" w:leftChars="-18" w:firstLine="105" w:firstLineChars="50"/>
        <w:rPr>
          <w:rFonts w:hint="eastAsia" w:ascii="宋体" w:hAnsi="宋体" w:eastAsia="宋体" w:cs="宋体"/>
          <w:b/>
          <w:szCs w:val="21"/>
        </w:rPr>
      </w:pPr>
      <w:r>
        <w:rPr>
          <w:rFonts w:hint="eastAsia"/>
          <w:szCs w:val="21"/>
        </w:rPr>
        <w:t>对全院信息化系统进行1年4次的漏洞扫描服务并提供书面报告，通过端口扫描、操作系统识别及漏洞数据采集等手段，主动检测系统配置缺陷或潜在风险，并提供修补建议。核心功能包括定期安全自查、新服务部署后的漏洞复查、网络架构规划评估等，可协助管理员提前防范攻击。技术实现涵盖主机状态探测、多重服务检测、数据库弱口令爆破等模块。</w:t>
      </w:r>
    </w:p>
    <w:p w14:paraId="603E6932">
      <w:pPr>
        <w:numPr>
          <w:numId w:val="0"/>
        </w:numPr>
        <w:snapToGrid w:val="0"/>
        <w:spacing w:line="360" w:lineRule="auto"/>
        <w:ind w:leftChars="32"/>
        <w:rPr>
          <w:rFonts w:hint="eastAsia" w:ascii="宋体" w:hAnsi="宋体" w:eastAsia="宋体" w:cs="宋体"/>
          <w:b w:val="0"/>
          <w:bCs w:val="0"/>
          <w:szCs w:val="21"/>
        </w:rPr>
      </w:pPr>
      <w:r>
        <w:rPr>
          <w:rFonts w:hint="eastAsia" w:eastAsia="宋体"/>
          <w:b w:val="0"/>
          <w:bCs w:val="0"/>
          <w:szCs w:val="21"/>
          <w:lang w:val="en-US" w:eastAsia="zh-CN"/>
        </w:rPr>
        <w:t>三、</w:t>
      </w:r>
      <w:r>
        <w:rPr>
          <w:rFonts w:hint="eastAsia" w:ascii="宋体" w:hAnsi="宋体" w:eastAsia="宋体" w:cs="宋体"/>
          <w:b w:val="0"/>
          <w:bCs w:val="0"/>
          <w:szCs w:val="21"/>
        </w:rPr>
        <w:t>支付要求：</w:t>
      </w:r>
      <w:bookmarkStart w:id="0" w:name="_GoBack"/>
      <w:bookmarkEnd w:id="0"/>
    </w:p>
    <w:p w14:paraId="4F995F87">
      <w:pPr>
        <w:pStyle w:val="49"/>
        <w:numPr>
          <w:ilvl w:val="0"/>
          <w:numId w:val="2"/>
        </w:numPr>
        <w:autoSpaceDE/>
        <w:autoSpaceDN/>
        <w:adjustRightInd/>
        <w:spacing w:line="360" w:lineRule="exact"/>
        <w:rPr>
          <w:rFonts w:hint="eastAsia" w:hAnsi="宋体"/>
          <w:bCs/>
          <w:kern w:val="2"/>
          <w:sz w:val="21"/>
          <w:szCs w:val="21"/>
        </w:rPr>
      </w:pPr>
      <w:r>
        <w:rPr>
          <w:rFonts w:hint="eastAsia" w:hAnsi="宋体"/>
          <w:bCs/>
          <w:kern w:val="2"/>
          <w:sz w:val="21"/>
          <w:szCs w:val="21"/>
        </w:rPr>
        <w:t>合同签订后7个工作日内，甲方向乙方支付至合同金额的100%；</w:t>
      </w:r>
    </w:p>
    <w:p w14:paraId="1B6314F9">
      <w:pPr>
        <w:pStyle w:val="21"/>
        <w:numPr>
          <w:numId w:val="0"/>
        </w:numPr>
        <w:spacing w:line="560" w:lineRule="exact"/>
        <w:ind w:leftChars="0"/>
        <w:outlineLvl w:val="0"/>
        <w:rPr>
          <w:rFonts w:hint="eastAsia" w:ascii="宋体" w:hAnsi="宋体" w:eastAsia="宋体" w:cs="宋体"/>
          <w:b w:val="0"/>
          <w:bCs/>
          <w:szCs w:val="21"/>
        </w:rPr>
      </w:pPr>
      <w:r>
        <w:rPr>
          <w:rFonts w:hint="eastAsia" w:ascii="宋体" w:hAnsi="宋体" w:eastAsia="宋体" w:cs="宋体"/>
          <w:b w:val="0"/>
          <w:bCs/>
          <w:szCs w:val="21"/>
          <w:lang w:val="en-US" w:eastAsia="zh-CN"/>
        </w:rPr>
        <w:t>四、</w:t>
      </w:r>
      <w:r>
        <w:rPr>
          <w:rFonts w:hint="eastAsia" w:ascii="宋体" w:hAnsi="宋体" w:eastAsia="宋体" w:cs="宋体"/>
          <w:b w:val="0"/>
          <w:bCs/>
          <w:szCs w:val="21"/>
        </w:rPr>
        <w:t>其他要求</w:t>
      </w:r>
    </w:p>
    <w:p w14:paraId="0754C420">
      <w:pPr>
        <w:spacing w:line="560" w:lineRule="exact"/>
        <w:rPr>
          <w:rFonts w:hint="eastAsia" w:ascii="宋体" w:hAnsi="宋体" w:eastAsia="宋体" w:cs="宋体"/>
          <w:bCs/>
          <w:szCs w:val="21"/>
        </w:rPr>
      </w:pPr>
      <w:r>
        <w:rPr>
          <w:rFonts w:hint="eastAsia" w:ascii="宋体" w:hAnsi="宋体" w:eastAsia="宋体" w:cs="宋体"/>
          <w:bCs/>
          <w:szCs w:val="21"/>
        </w:rPr>
        <w:t>1.维保要求：供应商负责上述设备维护升级及设备故障排除更换等和维护方面的培训。</w:t>
      </w:r>
    </w:p>
    <w:p w14:paraId="766F3017">
      <w:pPr>
        <w:spacing w:line="560" w:lineRule="exact"/>
        <w:rPr>
          <w:rFonts w:hint="eastAsia" w:ascii="宋体" w:hAnsi="宋体" w:eastAsia="宋体" w:cs="宋体"/>
          <w:bCs/>
          <w:szCs w:val="21"/>
        </w:rPr>
      </w:pPr>
      <w:r>
        <w:rPr>
          <w:rFonts w:hint="eastAsia" w:ascii="宋体" w:hAnsi="宋体" w:eastAsia="宋体" w:cs="宋体"/>
          <w:bCs/>
          <w:szCs w:val="21"/>
        </w:rPr>
        <w:t>2.售后服务和到货时间要求：供应商负责周一到周日全天24小时，提供一小时以内响应的免费远程服务和技术支持。</w:t>
      </w:r>
    </w:p>
    <w:p w14:paraId="73EA8784">
      <w:pPr>
        <w:pStyle w:val="20"/>
        <w:rPr>
          <w:rFonts w:hint="eastAsia"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汉仪典雅体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DF2AA2"/>
    <w:multiLevelType w:val="singleLevel"/>
    <w:tmpl w:val="F6DF2AA2"/>
    <w:lvl w:ilvl="0" w:tentative="0">
      <w:start w:val="11"/>
      <w:numFmt w:val="upperLetter"/>
      <w:suff w:val="nothing"/>
      <w:lvlText w:val="%1、"/>
      <w:lvlJc w:val="left"/>
    </w:lvl>
  </w:abstractNum>
  <w:abstractNum w:abstractNumId="1">
    <w:nsid w:val="7707DE1F"/>
    <w:multiLevelType w:val="singleLevel"/>
    <w:tmpl w:val="7707DE1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M2Q1OTNkNTIxMTI3N2FkYjY0NTlkYWNkOTI2ZDcifQ=="/>
  </w:docVars>
  <w:rsids>
    <w:rsidRoot w:val="004C647B"/>
    <w:rsid w:val="0001115C"/>
    <w:rsid w:val="00032345"/>
    <w:rsid w:val="000325A1"/>
    <w:rsid w:val="00053D09"/>
    <w:rsid w:val="000631F2"/>
    <w:rsid w:val="0008404B"/>
    <w:rsid w:val="000A737E"/>
    <w:rsid w:val="000E36FF"/>
    <w:rsid w:val="00103789"/>
    <w:rsid w:val="00116F79"/>
    <w:rsid w:val="001310BA"/>
    <w:rsid w:val="00133545"/>
    <w:rsid w:val="00150BE3"/>
    <w:rsid w:val="001871CF"/>
    <w:rsid w:val="001B4C13"/>
    <w:rsid w:val="001D6AAF"/>
    <w:rsid w:val="001E65A6"/>
    <w:rsid w:val="00245690"/>
    <w:rsid w:val="00284BF9"/>
    <w:rsid w:val="002D2B36"/>
    <w:rsid w:val="002E0254"/>
    <w:rsid w:val="00301DDB"/>
    <w:rsid w:val="003025DB"/>
    <w:rsid w:val="003076B1"/>
    <w:rsid w:val="0035572C"/>
    <w:rsid w:val="00355B0F"/>
    <w:rsid w:val="003805BB"/>
    <w:rsid w:val="00394027"/>
    <w:rsid w:val="003C2496"/>
    <w:rsid w:val="004568F7"/>
    <w:rsid w:val="00467308"/>
    <w:rsid w:val="00476457"/>
    <w:rsid w:val="004772AA"/>
    <w:rsid w:val="004C647B"/>
    <w:rsid w:val="004D1BF2"/>
    <w:rsid w:val="004E7B9D"/>
    <w:rsid w:val="004F0FCC"/>
    <w:rsid w:val="005034C3"/>
    <w:rsid w:val="00540334"/>
    <w:rsid w:val="00542B31"/>
    <w:rsid w:val="00575C91"/>
    <w:rsid w:val="005937BD"/>
    <w:rsid w:val="005A1DEB"/>
    <w:rsid w:val="005B3151"/>
    <w:rsid w:val="00612302"/>
    <w:rsid w:val="00630D08"/>
    <w:rsid w:val="0064082B"/>
    <w:rsid w:val="00643FF1"/>
    <w:rsid w:val="006618D5"/>
    <w:rsid w:val="00670006"/>
    <w:rsid w:val="00674D8D"/>
    <w:rsid w:val="0068448F"/>
    <w:rsid w:val="00694B91"/>
    <w:rsid w:val="006B74FA"/>
    <w:rsid w:val="006B7DCE"/>
    <w:rsid w:val="006E648C"/>
    <w:rsid w:val="007019D7"/>
    <w:rsid w:val="007568F9"/>
    <w:rsid w:val="00763A0B"/>
    <w:rsid w:val="00794329"/>
    <w:rsid w:val="007A2FB5"/>
    <w:rsid w:val="007A5817"/>
    <w:rsid w:val="007F53DC"/>
    <w:rsid w:val="007F7AF4"/>
    <w:rsid w:val="00826223"/>
    <w:rsid w:val="00881E11"/>
    <w:rsid w:val="00882FA3"/>
    <w:rsid w:val="008935B8"/>
    <w:rsid w:val="00895ACF"/>
    <w:rsid w:val="008B46A0"/>
    <w:rsid w:val="008B47F4"/>
    <w:rsid w:val="008D75A0"/>
    <w:rsid w:val="00905DB6"/>
    <w:rsid w:val="00950849"/>
    <w:rsid w:val="00954F32"/>
    <w:rsid w:val="0095739A"/>
    <w:rsid w:val="00963572"/>
    <w:rsid w:val="00964E75"/>
    <w:rsid w:val="009A5C26"/>
    <w:rsid w:val="009A6DC1"/>
    <w:rsid w:val="009E692C"/>
    <w:rsid w:val="00A13EFC"/>
    <w:rsid w:val="00A349FF"/>
    <w:rsid w:val="00A6088F"/>
    <w:rsid w:val="00A673D5"/>
    <w:rsid w:val="00A81934"/>
    <w:rsid w:val="00A969B9"/>
    <w:rsid w:val="00AA1DD0"/>
    <w:rsid w:val="00AC237F"/>
    <w:rsid w:val="00AF4C6D"/>
    <w:rsid w:val="00B24422"/>
    <w:rsid w:val="00B35602"/>
    <w:rsid w:val="00B8325A"/>
    <w:rsid w:val="00B90294"/>
    <w:rsid w:val="00B913A8"/>
    <w:rsid w:val="00BA5824"/>
    <w:rsid w:val="00BB479A"/>
    <w:rsid w:val="00BC7B70"/>
    <w:rsid w:val="00C12B62"/>
    <w:rsid w:val="00C369E5"/>
    <w:rsid w:val="00C467E1"/>
    <w:rsid w:val="00C53C1A"/>
    <w:rsid w:val="00C649A9"/>
    <w:rsid w:val="00C66173"/>
    <w:rsid w:val="00C77EB4"/>
    <w:rsid w:val="00C85459"/>
    <w:rsid w:val="00CA5E7E"/>
    <w:rsid w:val="00CB0028"/>
    <w:rsid w:val="00CF22BD"/>
    <w:rsid w:val="00CF5F33"/>
    <w:rsid w:val="00D2033E"/>
    <w:rsid w:val="00D24ABA"/>
    <w:rsid w:val="00D80673"/>
    <w:rsid w:val="00D91133"/>
    <w:rsid w:val="00DA28D7"/>
    <w:rsid w:val="00DB1191"/>
    <w:rsid w:val="00DE076C"/>
    <w:rsid w:val="00DE1338"/>
    <w:rsid w:val="00DE6863"/>
    <w:rsid w:val="00DF0FA4"/>
    <w:rsid w:val="00DF336C"/>
    <w:rsid w:val="00DF360A"/>
    <w:rsid w:val="00DF3E14"/>
    <w:rsid w:val="00E81344"/>
    <w:rsid w:val="00EB631F"/>
    <w:rsid w:val="00EC1D09"/>
    <w:rsid w:val="00EE3A63"/>
    <w:rsid w:val="00EE6597"/>
    <w:rsid w:val="00F02D7C"/>
    <w:rsid w:val="00F1157E"/>
    <w:rsid w:val="00FE54F9"/>
    <w:rsid w:val="00FE62A7"/>
    <w:rsid w:val="00FF32B4"/>
    <w:rsid w:val="00FF7B9A"/>
    <w:rsid w:val="013A1E1F"/>
    <w:rsid w:val="0A4C3670"/>
    <w:rsid w:val="0AD671D5"/>
    <w:rsid w:val="0E8548DB"/>
    <w:rsid w:val="10F34AC4"/>
    <w:rsid w:val="12DD1CFF"/>
    <w:rsid w:val="17D66A8F"/>
    <w:rsid w:val="1B486695"/>
    <w:rsid w:val="2D7C29C0"/>
    <w:rsid w:val="2E2F3DC6"/>
    <w:rsid w:val="2FC6599E"/>
    <w:rsid w:val="3542118B"/>
    <w:rsid w:val="3A6732A9"/>
    <w:rsid w:val="3EFFE323"/>
    <w:rsid w:val="3FF03192"/>
    <w:rsid w:val="44FB2E71"/>
    <w:rsid w:val="463C78E5"/>
    <w:rsid w:val="488F5944"/>
    <w:rsid w:val="4E3E294A"/>
    <w:rsid w:val="545410E3"/>
    <w:rsid w:val="55214881"/>
    <w:rsid w:val="55791EDF"/>
    <w:rsid w:val="633059D5"/>
    <w:rsid w:val="6D6F5173"/>
    <w:rsid w:val="6F5F80F9"/>
    <w:rsid w:val="75B87177"/>
    <w:rsid w:val="7D810720"/>
    <w:rsid w:val="7D9023D7"/>
    <w:rsid w:val="7FFFCE42"/>
    <w:rsid w:val="9BF62A91"/>
    <w:rsid w:val="F5FF85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3" w:lineRule="auto"/>
      <w:outlineLvl w:val="1"/>
    </w:pPr>
    <w:rPr>
      <w:rFonts w:ascii="Arial" w:hAnsi="Arial" w:eastAsia="黑体" w:cs="Times New Roman"/>
      <w:b/>
      <w:sz w:val="32"/>
      <w:szCs w:val="24"/>
    </w:rPr>
  </w:style>
  <w:style w:type="paragraph" w:styleId="5">
    <w:name w:val="heading 3"/>
    <w:basedOn w:val="1"/>
    <w:next w:val="1"/>
    <w:link w:val="29"/>
    <w:qFormat/>
    <w:uiPriority w:val="0"/>
    <w:pPr>
      <w:keepNext/>
      <w:keepLines/>
      <w:spacing w:before="260" w:after="260" w:line="413" w:lineRule="auto"/>
      <w:outlineLvl w:val="2"/>
    </w:pPr>
    <w:rPr>
      <w:rFonts w:ascii="Calibri" w:hAnsi="Calibri" w:eastAsia="宋体" w:cs="Times New Roman"/>
      <w:b/>
      <w:sz w:val="32"/>
      <w:szCs w:val="24"/>
    </w:rPr>
  </w:style>
  <w:style w:type="paragraph" w:styleId="6">
    <w:name w:val="heading 4"/>
    <w:basedOn w:val="1"/>
    <w:next w:val="1"/>
    <w:link w:val="30"/>
    <w:qFormat/>
    <w:uiPriority w:val="0"/>
    <w:pPr>
      <w:keepNext/>
      <w:keepLines/>
      <w:spacing w:before="280" w:after="290" w:line="372" w:lineRule="auto"/>
      <w:outlineLvl w:val="3"/>
    </w:pPr>
    <w:rPr>
      <w:rFonts w:ascii="Arial" w:hAnsi="Arial" w:eastAsia="黑体" w:cs="Times New Roman"/>
      <w:b/>
      <w:sz w:val="28"/>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宋体" w:hAnsi="宋体"/>
      <w:kern w:val="144"/>
      <w:sz w:val="24"/>
      <w:szCs w:val="21"/>
    </w:rPr>
  </w:style>
  <w:style w:type="paragraph" w:styleId="7">
    <w:name w:val="Body Text"/>
    <w:basedOn w:val="1"/>
    <w:next w:val="8"/>
    <w:qFormat/>
    <w:uiPriority w:val="0"/>
    <w:pPr>
      <w:spacing w:after="120"/>
    </w:pPr>
    <w:rPr>
      <w:sz w:val="28"/>
    </w:rPr>
  </w:style>
  <w:style w:type="paragraph" w:styleId="8">
    <w:name w:val="Subtitle"/>
    <w:basedOn w:val="1"/>
    <w:next w:val="1"/>
    <w:qFormat/>
    <w:uiPriority w:val="11"/>
    <w:pPr>
      <w:spacing w:before="240" w:after="60" w:line="312" w:lineRule="auto"/>
      <w:ind w:left="200" w:leftChars="200" w:firstLine="200" w:firstLineChars="200"/>
      <w:jc w:val="center"/>
      <w:outlineLvl w:val="1"/>
    </w:pPr>
    <w:rPr>
      <w:rFonts w:ascii="Times New Roman" w:hAnsi="Times New Roman"/>
      <w:b/>
      <w:bCs/>
      <w:kern w:val="28"/>
      <w:sz w:val="20"/>
      <w:szCs w:val="32"/>
    </w:rPr>
  </w:style>
  <w:style w:type="paragraph" w:styleId="9">
    <w:name w:val="index 4"/>
    <w:basedOn w:val="1"/>
    <w:next w:val="1"/>
    <w:qFormat/>
    <w:uiPriority w:val="0"/>
    <w:pPr>
      <w:ind w:left="600" w:leftChars="600"/>
    </w:pPr>
  </w:style>
  <w:style w:type="paragraph" w:styleId="10">
    <w:name w:val="Plain Text"/>
    <w:basedOn w:val="1"/>
    <w:next w:val="11"/>
    <w:link w:val="31"/>
    <w:qFormat/>
    <w:uiPriority w:val="99"/>
    <w:rPr>
      <w:rFonts w:ascii="Calibri" w:hAnsi="Calibri" w:eastAsia="宋体" w:cs="Times New Roman"/>
      <w:szCs w:val="24"/>
    </w:rPr>
  </w:style>
  <w:style w:type="paragraph" w:customStyle="1" w:styleId="11">
    <w:name w:val="_正文"/>
    <w:basedOn w:val="1"/>
    <w:qFormat/>
    <w:uiPriority w:val="0"/>
    <w:pPr>
      <w:adjustRightInd w:val="0"/>
      <w:snapToGrid w:val="0"/>
      <w:ind w:firstLine="200" w:firstLineChars="200"/>
    </w:pPr>
    <w:rPr>
      <w:rFonts w:ascii="Times New Roman" w:hAnsi="Times New Roman" w:eastAsia="宋体" w:cs="Times New Roman"/>
      <w:szCs w:val="24"/>
    </w:rPr>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800080"/>
      <w:u w:val="single"/>
    </w:rPr>
  </w:style>
  <w:style w:type="character" w:styleId="19">
    <w:name w:val="Hyperlink"/>
    <w:basedOn w:val="17"/>
    <w:semiHidden/>
    <w:unhideWhenUsed/>
    <w:qFormat/>
    <w:uiPriority w:val="99"/>
    <w:rPr>
      <w:color w:val="0000FF"/>
      <w:u w:val="single"/>
    </w:rPr>
  </w:style>
  <w:style w:type="paragraph" w:customStyle="1" w:styleId="20">
    <w:name w:val="Fließtext"/>
    <w:basedOn w:val="1"/>
    <w:qFormat/>
    <w:uiPriority w:val="0"/>
    <w:pPr>
      <w:overflowPunct w:val="0"/>
      <w:autoSpaceDE w:val="0"/>
      <w:autoSpaceDN w:val="0"/>
      <w:adjustRightInd w:val="0"/>
      <w:textAlignment w:val="baseline"/>
    </w:pPr>
    <w:rPr>
      <w:kern w:val="28"/>
      <w:szCs w:val="20"/>
    </w:rPr>
  </w:style>
  <w:style w:type="paragraph" w:styleId="21">
    <w:name w:val="List Paragraph"/>
    <w:basedOn w:val="1"/>
    <w:link w:val="22"/>
    <w:qFormat/>
    <w:uiPriority w:val="34"/>
    <w:pPr>
      <w:ind w:firstLine="420" w:firstLineChars="200"/>
    </w:pPr>
  </w:style>
  <w:style w:type="character" w:customStyle="1" w:styleId="22">
    <w:name w:val="列表段落 字符"/>
    <w:link w:val="21"/>
    <w:qFormat/>
    <w:uiPriority w:val="34"/>
  </w:style>
  <w:style w:type="character" w:customStyle="1" w:styleId="23">
    <w:name w:val="表格 Char Char"/>
    <w:link w:val="24"/>
    <w:qFormat/>
    <w:uiPriority w:val="0"/>
    <w:rPr>
      <w:rFonts w:ascii="宋体" w:hAnsi="宋体"/>
    </w:rPr>
  </w:style>
  <w:style w:type="paragraph" w:customStyle="1" w:styleId="24">
    <w:name w:val="表格"/>
    <w:basedOn w:val="1"/>
    <w:link w:val="23"/>
    <w:qFormat/>
    <w:uiPriority w:val="0"/>
    <w:pPr>
      <w:snapToGrid w:val="0"/>
      <w:spacing w:line="360" w:lineRule="auto"/>
      <w:ind w:firstLine="42" w:firstLineChars="21"/>
    </w:pPr>
    <w:rPr>
      <w:rFonts w:ascii="宋体" w:hAnsi="宋体"/>
    </w:rPr>
  </w:style>
  <w:style w:type="character" w:customStyle="1" w:styleId="25">
    <w:name w:val="font31"/>
    <w:qFormat/>
    <w:uiPriority w:val="0"/>
    <w:rPr>
      <w:rFonts w:hint="eastAsia" w:ascii="宋体" w:hAnsi="宋体" w:eastAsia="宋体" w:cs="宋体"/>
      <w:color w:val="000000"/>
      <w:sz w:val="20"/>
      <w:szCs w:val="20"/>
      <w:u w:val="none"/>
    </w:rPr>
  </w:style>
  <w:style w:type="character" w:customStyle="1" w:styleId="26">
    <w:name w:val="页眉 字符"/>
    <w:basedOn w:val="17"/>
    <w:link w:val="14"/>
    <w:qFormat/>
    <w:uiPriority w:val="99"/>
    <w:rPr>
      <w:sz w:val="18"/>
      <w:szCs w:val="18"/>
    </w:rPr>
  </w:style>
  <w:style w:type="character" w:customStyle="1" w:styleId="27">
    <w:name w:val="页脚 字符"/>
    <w:basedOn w:val="17"/>
    <w:link w:val="13"/>
    <w:qFormat/>
    <w:uiPriority w:val="99"/>
    <w:rPr>
      <w:sz w:val="18"/>
      <w:szCs w:val="18"/>
    </w:rPr>
  </w:style>
  <w:style w:type="character" w:customStyle="1" w:styleId="28">
    <w:name w:val="标题 2 字符"/>
    <w:basedOn w:val="17"/>
    <w:link w:val="4"/>
    <w:qFormat/>
    <w:uiPriority w:val="0"/>
    <w:rPr>
      <w:rFonts w:ascii="Arial" w:hAnsi="Arial" w:eastAsia="黑体" w:cs="Times New Roman"/>
      <w:b/>
      <w:sz w:val="32"/>
      <w:szCs w:val="24"/>
    </w:rPr>
  </w:style>
  <w:style w:type="character" w:customStyle="1" w:styleId="29">
    <w:name w:val="标题 3 字符"/>
    <w:basedOn w:val="17"/>
    <w:link w:val="5"/>
    <w:qFormat/>
    <w:uiPriority w:val="0"/>
    <w:rPr>
      <w:rFonts w:ascii="Calibri" w:hAnsi="Calibri" w:eastAsia="宋体" w:cs="Times New Roman"/>
      <w:b/>
      <w:sz w:val="32"/>
      <w:szCs w:val="24"/>
    </w:rPr>
  </w:style>
  <w:style w:type="character" w:customStyle="1" w:styleId="30">
    <w:name w:val="标题 4 字符"/>
    <w:basedOn w:val="17"/>
    <w:link w:val="6"/>
    <w:qFormat/>
    <w:uiPriority w:val="0"/>
    <w:rPr>
      <w:rFonts w:ascii="Arial" w:hAnsi="Arial" w:eastAsia="黑体" w:cs="Times New Roman"/>
      <w:b/>
      <w:sz w:val="28"/>
      <w:szCs w:val="24"/>
    </w:rPr>
  </w:style>
  <w:style w:type="character" w:customStyle="1" w:styleId="31">
    <w:name w:val="纯文本 字符"/>
    <w:basedOn w:val="17"/>
    <w:link w:val="10"/>
    <w:qFormat/>
    <w:uiPriority w:val="99"/>
    <w:rPr>
      <w:rFonts w:ascii="Calibri" w:hAnsi="Calibri" w:eastAsia="宋体" w:cs="Times New Roman"/>
      <w:szCs w:val="24"/>
    </w:rPr>
  </w:style>
  <w:style w:type="character" w:customStyle="1" w:styleId="32">
    <w:name w:val="批注框文本 字符"/>
    <w:basedOn w:val="17"/>
    <w:link w:val="12"/>
    <w:semiHidden/>
    <w:qFormat/>
    <w:uiPriority w:val="99"/>
    <w:rPr>
      <w:sz w:val="18"/>
      <w:szCs w:val="18"/>
    </w:rPr>
  </w:style>
  <w:style w:type="paragraph" w:customStyle="1" w:styleId="33">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34">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5">
    <w:name w:val="xl6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CC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3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3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1">
    <w:name w:val="font41"/>
    <w:basedOn w:val="17"/>
    <w:qFormat/>
    <w:uiPriority w:val="0"/>
    <w:rPr>
      <w:rFonts w:hint="eastAsia" w:ascii="宋体" w:hAnsi="宋体" w:eastAsia="宋体" w:cs="宋体"/>
      <w:b/>
      <w:color w:val="000000"/>
      <w:sz w:val="21"/>
      <w:szCs w:val="21"/>
      <w:u w:val="single"/>
    </w:rPr>
  </w:style>
  <w:style w:type="paragraph" w:customStyle="1" w:styleId="42">
    <w:name w:val="_Style 32"/>
    <w:basedOn w:val="1"/>
    <w:next w:val="5"/>
    <w:qFormat/>
    <w:uiPriority w:val="0"/>
    <w:pPr>
      <w:spacing w:line="360" w:lineRule="auto"/>
    </w:pPr>
  </w:style>
  <w:style w:type="character" w:customStyle="1" w:styleId="43">
    <w:name w:val="font11"/>
    <w:basedOn w:val="17"/>
    <w:qFormat/>
    <w:uiPriority w:val="0"/>
    <w:rPr>
      <w:rFonts w:ascii="Calibri" w:hAnsi="Calibri" w:cs="Calibri"/>
      <w:color w:val="000000"/>
      <w:sz w:val="21"/>
      <w:szCs w:val="21"/>
      <w:u w:val="none"/>
    </w:rPr>
  </w:style>
  <w:style w:type="character" w:customStyle="1" w:styleId="44">
    <w:name w:val="font81"/>
    <w:basedOn w:val="17"/>
    <w:qFormat/>
    <w:uiPriority w:val="0"/>
    <w:rPr>
      <w:rFonts w:hint="eastAsia" w:ascii="宋体" w:hAnsi="宋体" w:eastAsia="宋体" w:cs="宋体"/>
      <w:color w:val="000000"/>
      <w:sz w:val="21"/>
      <w:szCs w:val="21"/>
      <w:u w:val="none"/>
    </w:rPr>
  </w:style>
  <w:style w:type="paragraph" w:customStyle="1" w:styleId="45">
    <w:name w:val="正文缩进3"/>
    <w:basedOn w:val="1"/>
    <w:qFormat/>
    <w:uiPriority w:val="0"/>
    <w:pPr>
      <w:ind w:firstLine="420" w:firstLineChars="200"/>
    </w:pPr>
    <w:rPr>
      <w:szCs w:val="24"/>
      <w:lang w:val="zh-CN"/>
    </w:rPr>
  </w:style>
  <w:style w:type="paragraph" w:customStyle="1" w:styleId="46">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8">
    <w:name w:val="apple-converted-space"/>
    <w:basedOn w:val="17"/>
    <w:qFormat/>
    <w:uiPriority w:val="0"/>
  </w:style>
  <w:style w:type="paragraph" w:customStyle="1" w:styleId="49">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1043</Words>
  <Characters>1350</Characters>
  <Lines>61</Lines>
  <Paragraphs>52</Paragraphs>
  <TotalTime>8</TotalTime>
  <ScaleCrop>false</ScaleCrop>
  <LinksUpToDate>false</LinksUpToDate>
  <CharactersWithSpaces>1364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2026-02-10T09:57:00Z</dcterms:created>
  <dc:creator>陈琰</dc:creator>
  <cp:lastModifiedBy>大国崛起</cp:lastModifiedBy>
  <dcterms:modified xsi:type="dcterms:W3CDTF">2026-02-12T01:33:54Z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04D0E256EB56099B5E71C768DFC35A57_43</vt:lpwstr>
  </property>
  <property fmtid="{D5CDD505-2E9C-101B-9397-08002B2CF9AE}" pid="4" name="KSOTemplateDocerSaveRecord">
    <vt:lpwstr>eyJoZGlkIjoiODlkN2IzNDhhMjRlZWVkN2Y4YzY2NGE4ODA4OTY4MjQiLCJ1c2VySWQiOiI1Mjg1OTI0NTMifQ==</vt:lpwstr>
  </property>
</Properties>
</file>