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F088">
      <w:pPr>
        <w:snapToGrid/>
        <w:spacing w:before="0" w:beforeAutospacing="0" w:after="0" w:afterAutospacing="0" w:line="240" w:lineRule="auto"/>
        <w:ind w:firstLine="2249" w:firstLineChars="800"/>
        <w:jc w:val="both"/>
        <w:textAlignment w:val="baseline"/>
        <w:rPr>
          <w:rStyle w:val="14"/>
          <w:rFonts w:hint="eastAsia" w:ascii="宋体" w:hAnsi="宋体" w:eastAsia="宋体" w:cs="宋体"/>
          <w:b/>
          <w:bCs/>
          <w:i w:val="0"/>
          <w:caps w:val="0"/>
          <w:spacing w:val="0"/>
          <w:w w:val="100"/>
          <w:kern w:val="2"/>
          <w:sz w:val="28"/>
          <w:szCs w:val="28"/>
          <w:lang w:val="en-US" w:eastAsia="zh-CN"/>
        </w:rPr>
      </w:pPr>
      <w:r>
        <w:rPr>
          <w:rFonts w:hint="eastAsia" w:ascii="宋体" w:hAnsi="宋体" w:eastAsia="宋体" w:cs="宋体"/>
          <w:b/>
          <w:bCs/>
          <w:color w:val="000000"/>
          <w:sz w:val="28"/>
          <w:szCs w:val="28"/>
          <w:lang w:val="en-US" w:eastAsia="zh-CN"/>
        </w:rPr>
        <w:t>生物刺激反馈仪</w:t>
      </w:r>
      <w:r>
        <w:rPr>
          <w:rStyle w:val="14"/>
          <w:rFonts w:hint="eastAsia" w:ascii="宋体" w:hAnsi="宋体" w:eastAsia="宋体" w:cs="宋体"/>
          <w:b/>
          <w:bCs/>
          <w:i w:val="0"/>
          <w:caps w:val="0"/>
          <w:spacing w:val="0"/>
          <w:w w:val="100"/>
          <w:kern w:val="2"/>
          <w:sz w:val="28"/>
          <w:szCs w:val="28"/>
          <w:lang w:val="en-US" w:eastAsia="zh-CN"/>
        </w:rPr>
        <w:t>采购需求</w:t>
      </w:r>
    </w:p>
    <w:p w14:paraId="00AAE843">
      <w:pPr>
        <w:snapToGrid/>
        <w:spacing w:before="0" w:beforeAutospacing="0" w:after="0" w:afterAutospacing="0" w:line="360" w:lineRule="auto"/>
        <w:ind w:left="0" w:leftChars="0" w:right="0" w:firstLineChars="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一、设备用途及要求：</w:t>
      </w:r>
    </w:p>
    <w:p w14:paraId="1A899F18">
      <w:pPr>
        <w:spacing w:line="360" w:lineRule="auto"/>
        <w:rPr>
          <w:rFonts w:hint="eastAsia" w:ascii="仿宋" w:hAnsi="仿宋" w:eastAsia="仿宋" w:cs="仿宋"/>
          <w:b w:val="0"/>
          <w:bCs w:val="0"/>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1、本次采购的</w:t>
      </w:r>
      <w:r>
        <w:rPr>
          <w:rFonts w:hint="eastAsia" w:ascii="仿宋" w:hAnsi="仿宋" w:eastAsia="仿宋" w:cs="仿宋"/>
          <w:b w:val="0"/>
          <w:bCs w:val="0"/>
          <w:color w:val="000000"/>
          <w:sz w:val="24"/>
          <w:szCs w:val="24"/>
          <w:lang w:val="en-US" w:eastAsia="zh-CN"/>
        </w:rPr>
        <w:t>生物刺激反馈仪主要</w:t>
      </w:r>
      <w:r>
        <w:rPr>
          <w:rFonts w:hint="eastAsia" w:ascii="仿宋" w:hAnsi="仿宋" w:eastAsia="仿宋" w:cs="仿宋"/>
          <w:b w:val="0"/>
          <w:bCs w:val="0"/>
          <w:sz w:val="24"/>
          <w:szCs w:val="24"/>
        </w:rPr>
        <w:t>用于</w:t>
      </w:r>
      <w:r>
        <w:rPr>
          <w:rFonts w:hint="eastAsia" w:ascii="仿宋" w:hAnsi="仿宋" w:eastAsia="仿宋" w:cs="仿宋"/>
          <w:kern w:val="0"/>
          <w:sz w:val="24"/>
          <w:szCs w:val="24"/>
          <w:lang w:val="zh-CN"/>
        </w:rPr>
        <w:t>对患者的体表肌电信号进行采集、分析和反馈训练</w:t>
      </w:r>
      <w:bookmarkStart w:id="0" w:name="_GoBack"/>
      <w:bookmarkEnd w:id="0"/>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要求便携式。</w:t>
      </w:r>
    </w:p>
    <w:p w14:paraId="77364B1D">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bCs w:val="0"/>
          <w:sz w:val="24"/>
          <w:szCs w:val="24"/>
          <w:lang w:val="en-US" w:eastAsia="zh-CN"/>
        </w:rPr>
        <w:t>2、保修年限:</w:t>
      </w:r>
      <w:r>
        <w:rPr>
          <w:rFonts w:hint="eastAsia" w:ascii="仿宋" w:hAnsi="仿宋" w:eastAsia="仿宋" w:cs="仿宋"/>
          <w:b w:val="0"/>
          <w:bCs w:val="0"/>
          <w:sz w:val="24"/>
          <w:szCs w:val="24"/>
          <w:lang w:val="en-US" w:eastAsia="zh-CN"/>
        </w:rPr>
        <w:t>整机保修≥5年</w:t>
      </w:r>
      <w:r>
        <w:rPr>
          <w:rFonts w:hint="eastAsia" w:ascii="仿宋" w:hAnsi="仿宋" w:eastAsia="仿宋" w:cs="仿宋"/>
          <w:b w:val="0"/>
          <w:sz w:val="24"/>
          <w:szCs w:val="24"/>
          <w:lang w:eastAsia="zh-CN"/>
        </w:rPr>
        <w:t>。</w:t>
      </w:r>
    </w:p>
    <w:p w14:paraId="00DCBD39">
      <w:pPr>
        <w:numPr>
          <w:ilvl w:val="0"/>
          <w:numId w:val="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3、采购设备数量：1台</w:t>
      </w:r>
    </w:p>
    <w:p w14:paraId="058F1781">
      <w:pPr>
        <w:spacing w:line="360" w:lineRule="auto"/>
        <w:jc w:val="left"/>
        <w:rPr>
          <w:rFonts w:hint="eastAsia" w:ascii="仿宋" w:hAnsi="仿宋" w:eastAsia="仿宋" w:cs="仿宋"/>
          <w:sz w:val="24"/>
          <w:szCs w:val="24"/>
        </w:rPr>
      </w:pPr>
      <w:r>
        <w:rPr>
          <w:rFonts w:hint="eastAsia" w:ascii="仿宋" w:hAnsi="仿宋" w:eastAsia="仿宋" w:cs="仿宋"/>
          <w:b w:val="0"/>
          <w:bCs w:val="0"/>
          <w:sz w:val="24"/>
          <w:szCs w:val="24"/>
          <w:lang w:val="en-US" w:eastAsia="zh-CN"/>
        </w:rPr>
        <w:t>4、预算限价：4.5万元</w:t>
      </w:r>
    </w:p>
    <w:p w14:paraId="46AE8B4D">
      <w:pPr>
        <w:pStyle w:val="6"/>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二、主要</w:t>
      </w:r>
      <w:r>
        <w:rPr>
          <w:rFonts w:hint="eastAsia" w:ascii="仿宋" w:hAnsi="仿宋" w:eastAsia="仿宋" w:cs="仿宋"/>
          <w:sz w:val="24"/>
          <w:szCs w:val="24"/>
        </w:rPr>
        <w:t>技术</w:t>
      </w:r>
      <w:r>
        <w:rPr>
          <w:rFonts w:hint="eastAsia" w:ascii="仿宋" w:hAnsi="仿宋" w:eastAsia="仿宋" w:cs="仿宋"/>
          <w:sz w:val="24"/>
          <w:szCs w:val="24"/>
          <w:lang w:val="en-US" w:eastAsia="zh-CN"/>
        </w:rPr>
        <w:t>参数</w:t>
      </w:r>
      <w:r>
        <w:rPr>
          <w:rFonts w:hint="eastAsia" w:ascii="仿宋" w:hAnsi="仿宋" w:eastAsia="仿宋" w:cs="仿宋"/>
          <w:sz w:val="24"/>
          <w:szCs w:val="24"/>
        </w:rPr>
        <w:t>要求</w:t>
      </w:r>
    </w:p>
    <w:tbl>
      <w:tblPr>
        <w:tblStyle w:val="7"/>
        <w:tblW w:w="9779"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8481"/>
      </w:tblGrid>
      <w:tr w14:paraId="095C5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FEE690B">
            <w:pPr>
              <w:spacing w:line="360" w:lineRule="exact"/>
              <w:rPr>
                <w:rFonts w:hint="eastAsia" w:ascii="仿宋" w:hAnsi="仿宋" w:eastAsia="仿宋" w:cs="仿宋"/>
                <w:b/>
                <w:sz w:val="24"/>
                <w:szCs w:val="24"/>
              </w:rPr>
            </w:pPr>
            <w:r>
              <w:rPr>
                <w:rFonts w:hint="eastAsia" w:ascii="仿宋" w:hAnsi="仿宋" w:eastAsia="仿宋" w:cs="仿宋"/>
                <w:b/>
                <w:sz w:val="24"/>
                <w:szCs w:val="24"/>
              </w:rPr>
              <w:t>序号</w:t>
            </w:r>
          </w:p>
        </w:tc>
        <w:tc>
          <w:tcPr>
            <w:tcW w:w="8481" w:type="dxa"/>
            <w:vAlign w:val="center"/>
          </w:tcPr>
          <w:p w14:paraId="036FC20D">
            <w:pPr>
              <w:pStyle w:val="13"/>
              <w:tabs>
                <w:tab w:val="left" w:pos="5586"/>
              </w:tabs>
              <w:spacing w:line="360" w:lineRule="exact"/>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主要技术参数要求</w:t>
            </w:r>
          </w:p>
        </w:tc>
      </w:tr>
      <w:tr w14:paraId="6D8C2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3AFFC5B2">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1</w:t>
            </w:r>
          </w:p>
        </w:tc>
        <w:tc>
          <w:tcPr>
            <w:tcW w:w="8481" w:type="dxa"/>
            <w:vAlign w:val="center"/>
          </w:tcPr>
          <w:p w14:paraId="0569FEA8">
            <w:pPr>
              <w:spacing w:line="360" w:lineRule="exact"/>
              <w:jc w:val="left"/>
              <w:rPr>
                <w:rFonts w:hint="eastAsia" w:ascii="仿宋" w:hAnsi="仿宋" w:eastAsia="仿宋" w:cs="仿宋"/>
                <w:b/>
                <w:sz w:val="24"/>
                <w:szCs w:val="24"/>
              </w:rPr>
            </w:pPr>
            <w:r>
              <w:rPr>
                <w:rFonts w:hint="eastAsia" w:ascii="仿宋" w:hAnsi="仿宋" w:eastAsia="仿宋" w:cs="仿宋"/>
                <w:b/>
                <w:sz w:val="24"/>
                <w:szCs w:val="24"/>
              </w:rPr>
              <w:t>总体要求</w:t>
            </w:r>
          </w:p>
        </w:tc>
      </w:tr>
      <w:tr w14:paraId="417E1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EA1ECDA">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1.1</w:t>
            </w:r>
          </w:p>
        </w:tc>
        <w:tc>
          <w:tcPr>
            <w:tcW w:w="8481" w:type="dxa"/>
            <w:vAlign w:val="center"/>
          </w:tcPr>
          <w:p w14:paraId="208558A2">
            <w:pPr>
              <w:spacing w:line="360" w:lineRule="exact"/>
              <w:jc w:val="left"/>
              <w:rPr>
                <w:rFonts w:hint="eastAsia" w:ascii="仿宋" w:hAnsi="仿宋" w:eastAsia="仿宋" w:cs="仿宋"/>
                <w:bCs/>
                <w:sz w:val="24"/>
                <w:szCs w:val="24"/>
              </w:rPr>
            </w:pPr>
            <w:r>
              <w:rPr>
                <w:rFonts w:hint="eastAsia" w:ascii="仿宋" w:hAnsi="仿宋" w:eastAsia="仿宋" w:cs="仿宋"/>
                <w:b/>
                <w:sz w:val="24"/>
                <w:szCs w:val="24"/>
              </w:rPr>
              <w:t>设备名称</w:t>
            </w:r>
            <w:r>
              <w:rPr>
                <w:rFonts w:hint="eastAsia" w:ascii="仿宋" w:hAnsi="仿宋" w:eastAsia="仿宋" w:cs="仿宋"/>
                <w:bCs/>
                <w:sz w:val="24"/>
                <w:szCs w:val="24"/>
              </w:rPr>
              <w:t>：</w:t>
            </w:r>
            <w:r>
              <w:rPr>
                <w:rFonts w:hint="eastAsia" w:ascii="仿宋" w:hAnsi="仿宋" w:eastAsia="仿宋" w:cs="仿宋"/>
                <w:b w:val="0"/>
                <w:bCs w:val="0"/>
                <w:color w:val="000000"/>
                <w:sz w:val="24"/>
                <w:szCs w:val="24"/>
                <w:lang w:val="en-US" w:eastAsia="zh-CN"/>
              </w:rPr>
              <w:t>生物刺激反馈仪</w:t>
            </w:r>
          </w:p>
        </w:tc>
      </w:tr>
      <w:tr w14:paraId="34FE8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6B0C0CD">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p>
        </w:tc>
        <w:tc>
          <w:tcPr>
            <w:tcW w:w="8481" w:type="dxa"/>
            <w:vAlign w:val="center"/>
          </w:tcPr>
          <w:p w14:paraId="359CF069">
            <w:pPr>
              <w:spacing w:line="360" w:lineRule="exact"/>
              <w:jc w:val="left"/>
              <w:rPr>
                <w:rFonts w:hint="eastAsia" w:ascii="仿宋" w:hAnsi="仿宋" w:eastAsia="仿宋" w:cs="仿宋"/>
                <w:bCs/>
                <w:sz w:val="24"/>
                <w:szCs w:val="24"/>
                <w:lang w:val="en-US" w:eastAsia="zh-CN"/>
              </w:rPr>
            </w:pPr>
            <w:r>
              <w:rPr>
                <w:rFonts w:hint="eastAsia" w:ascii="仿宋" w:hAnsi="仿宋" w:eastAsia="仿宋" w:cs="仿宋"/>
                <w:b/>
                <w:sz w:val="24"/>
                <w:szCs w:val="24"/>
              </w:rPr>
              <w:t>设备用途</w:t>
            </w:r>
            <w:r>
              <w:rPr>
                <w:rFonts w:hint="eastAsia" w:ascii="仿宋" w:hAnsi="仿宋" w:eastAsia="仿宋" w:cs="仿宋"/>
                <w:bCs/>
                <w:sz w:val="24"/>
                <w:szCs w:val="24"/>
              </w:rPr>
              <w:t>：</w:t>
            </w:r>
            <w:r>
              <w:rPr>
                <w:rFonts w:hint="eastAsia" w:ascii="仿宋" w:hAnsi="仿宋" w:eastAsia="仿宋" w:cs="仿宋"/>
                <w:kern w:val="0"/>
                <w:sz w:val="24"/>
                <w:szCs w:val="24"/>
                <w:lang w:val="zh-CN"/>
              </w:rPr>
              <w:t>对患者的体表肌电信号进行采集、分析和反馈训练，可以对患者的肌肉施加电刺激来帮助诊断和恢复患者的肌肉功能障碍。</w:t>
            </w:r>
          </w:p>
        </w:tc>
      </w:tr>
      <w:tr w14:paraId="01CD0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4E667DA">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481" w:type="dxa"/>
            <w:vAlign w:val="center"/>
          </w:tcPr>
          <w:p w14:paraId="5477DA07">
            <w:pPr>
              <w:spacing w:line="360" w:lineRule="exact"/>
              <w:rPr>
                <w:rFonts w:hint="eastAsia" w:ascii="仿宋" w:hAnsi="仿宋" w:eastAsia="仿宋" w:cs="仿宋"/>
                <w:b/>
                <w:sz w:val="24"/>
                <w:szCs w:val="24"/>
              </w:rPr>
            </w:pPr>
            <w:r>
              <w:rPr>
                <w:rFonts w:hint="eastAsia" w:ascii="仿宋" w:hAnsi="仿宋" w:eastAsia="仿宋" w:cs="仿宋"/>
                <w:b/>
                <w:sz w:val="24"/>
                <w:szCs w:val="24"/>
              </w:rPr>
              <w:t>主要技术参数要求</w:t>
            </w:r>
          </w:p>
        </w:tc>
      </w:tr>
      <w:tr w14:paraId="4198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7764DF81">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sz w:val="24"/>
                <w:szCs w:val="24"/>
              </w:rPr>
              <w:t>2.1</w:t>
            </w:r>
          </w:p>
        </w:tc>
        <w:tc>
          <w:tcPr>
            <w:tcW w:w="8481" w:type="dxa"/>
            <w:shd w:val="clear" w:color="auto" w:fill="auto"/>
            <w:vAlign w:val="center"/>
          </w:tcPr>
          <w:p w14:paraId="42B7A499">
            <w:pPr>
              <w:rPr>
                <w:rFonts w:hint="eastAsia" w:ascii="仿宋" w:hAnsi="仿宋" w:eastAsia="仿宋" w:cs="仿宋"/>
                <w:sz w:val="24"/>
                <w:szCs w:val="24"/>
              </w:rPr>
            </w:pPr>
            <w:r>
              <w:rPr>
                <w:rFonts w:hint="eastAsia" w:ascii="仿宋" w:hAnsi="仿宋" w:eastAsia="仿宋" w:cs="仿宋"/>
                <w:sz w:val="24"/>
                <w:szCs w:val="24"/>
                <w:lang w:val="en-US" w:eastAsia="zh-CN"/>
              </w:rPr>
              <w:t>主机：便携式彩色液晶触摸屏</w:t>
            </w:r>
          </w:p>
        </w:tc>
      </w:tr>
      <w:tr w14:paraId="11F8B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73D2504C">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2.2</w:t>
            </w:r>
          </w:p>
        </w:tc>
        <w:tc>
          <w:tcPr>
            <w:tcW w:w="8481" w:type="dxa"/>
            <w:shd w:val="clear" w:color="auto" w:fill="auto"/>
            <w:vAlign w:val="center"/>
          </w:tcPr>
          <w:p w14:paraId="02781FEE">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通道数：≥4</w:t>
            </w:r>
          </w:p>
        </w:tc>
      </w:tr>
      <w:tr w14:paraId="3DEB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32B58140">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2.3</w:t>
            </w:r>
          </w:p>
        </w:tc>
        <w:tc>
          <w:tcPr>
            <w:tcW w:w="8481" w:type="dxa"/>
            <w:shd w:val="clear" w:color="auto" w:fill="auto"/>
            <w:vAlign w:val="center"/>
          </w:tcPr>
          <w:p w14:paraId="70266660">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AD采样位数≥16</w:t>
            </w:r>
          </w:p>
        </w:tc>
      </w:tr>
      <w:tr w14:paraId="5A8AB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0889D595">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2.4</w:t>
            </w:r>
          </w:p>
        </w:tc>
        <w:tc>
          <w:tcPr>
            <w:tcW w:w="8481" w:type="dxa"/>
            <w:shd w:val="clear" w:color="auto" w:fill="auto"/>
            <w:vAlign w:val="center"/>
          </w:tcPr>
          <w:p w14:paraId="0030D8D9">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AD采样率≥8000HZ</w:t>
            </w:r>
          </w:p>
        </w:tc>
      </w:tr>
      <w:tr w14:paraId="40321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7AA3C590">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p>
        </w:tc>
        <w:tc>
          <w:tcPr>
            <w:tcW w:w="8481" w:type="dxa"/>
            <w:shd w:val="clear" w:color="auto" w:fill="auto"/>
            <w:vAlign w:val="center"/>
          </w:tcPr>
          <w:p w14:paraId="0C7097FC">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刺激强度：0-100mA</w:t>
            </w:r>
          </w:p>
        </w:tc>
      </w:tr>
      <w:tr w14:paraId="2B915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01D45E3B">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p>
        </w:tc>
        <w:tc>
          <w:tcPr>
            <w:tcW w:w="8481" w:type="dxa"/>
            <w:shd w:val="clear" w:color="auto" w:fill="auto"/>
            <w:vAlign w:val="center"/>
          </w:tcPr>
          <w:p w14:paraId="0FE661FB">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刺激频率：</w:t>
            </w:r>
            <w:r>
              <w:rPr>
                <w:rFonts w:hint="eastAsia" w:ascii="仿宋" w:hAnsi="仿宋" w:eastAsia="仿宋" w:cs="仿宋"/>
                <w:kern w:val="0"/>
                <w:sz w:val="24"/>
                <w:szCs w:val="24"/>
                <w:lang w:val="en-US" w:eastAsia="zh-CN"/>
              </w:rPr>
              <w:t>0.5</w:t>
            </w:r>
            <w:r>
              <w:rPr>
                <w:rFonts w:hint="eastAsia" w:ascii="仿宋" w:hAnsi="仿宋" w:eastAsia="仿宋" w:cs="仿宋"/>
                <w:kern w:val="0"/>
                <w:sz w:val="24"/>
                <w:szCs w:val="24"/>
                <w:lang w:val="zh-CN"/>
              </w:rPr>
              <w:t>-999Hz</w:t>
            </w:r>
          </w:p>
        </w:tc>
      </w:tr>
      <w:tr w14:paraId="5C40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4F5FE89E">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8481" w:type="dxa"/>
            <w:shd w:val="clear" w:color="auto" w:fill="auto"/>
            <w:vAlign w:val="center"/>
          </w:tcPr>
          <w:p w14:paraId="26F0C47B">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脉冲宽度：10μs～1000μs</w:t>
            </w:r>
          </w:p>
        </w:tc>
      </w:tr>
      <w:tr w14:paraId="763C4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17985A47">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p>
        </w:tc>
        <w:tc>
          <w:tcPr>
            <w:tcW w:w="8481" w:type="dxa"/>
            <w:shd w:val="clear" w:color="auto" w:fill="auto"/>
            <w:vAlign w:val="center"/>
          </w:tcPr>
          <w:p w14:paraId="78D29922">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上升下降时间：0-10s</w:t>
            </w:r>
          </w:p>
        </w:tc>
      </w:tr>
      <w:tr w14:paraId="2638D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280D6213">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p>
        </w:tc>
        <w:tc>
          <w:tcPr>
            <w:tcW w:w="8481" w:type="dxa"/>
            <w:shd w:val="clear" w:color="auto" w:fill="auto"/>
            <w:vAlign w:val="center"/>
          </w:tcPr>
          <w:p w14:paraId="72799506">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内置放大器带宽：20Hz～500Hz(-3dB)</w:t>
            </w:r>
          </w:p>
        </w:tc>
      </w:tr>
      <w:tr w14:paraId="574F5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47FBA9D5">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10</w:t>
            </w:r>
          </w:p>
        </w:tc>
        <w:tc>
          <w:tcPr>
            <w:tcW w:w="8481" w:type="dxa"/>
            <w:shd w:val="clear" w:color="auto" w:fill="auto"/>
            <w:vAlign w:val="center"/>
          </w:tcPr>
          <w:p w14:paraId="5C2BC729">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内置放大器测量范围：1-999μV（r.m.s）</w:t>
            </w:r>
          </w:p>
        </w:tc>
      </w:tr>
      <w:tr w14:paraId="0B65E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59142908">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2.11</w:t>
            </w:r>
          </w:p>
        </w:tc>
        <w:tc>
          <w:tcPr>
            <w:tcW w:w="8481" w:type="dxa"/>
            <w:shd w:val="clear" w:color="auto" w:fill="auto"/>
            <w:vAlign w:val="center"/>
          </w:tcPr>
          <w:p w14:paraId="05BD7300">
            <w:pPr>
              <w:rPr>
                <w:rFonts w:hint="eastAsia" w:ascii="仿宋" w:hAnsi="仿宋" w:eastAsia="仿宋" w:cs="仿宋"/>
                <w:kern w:val="2"/>
                <w:sz w:val="24"/>
                <w:szCs w:val="24"/>
                <w:lang w:val="zh-CN" w:eastAsia="zh-CN" w:bidi="ar-SA"/>
              </w:rPr>
            </w:pPr>
            <w:r>
              <w:rPr>
                <w:rFonts w:hint="eastAsia" w:ascii="仿宋" w:hAnsi="仿宋" w:eastAsia="仿宋" w:cs="仿宋"/>
                <w:kern w:val="0"/>
                <w:sz w:val="24"/>
                <w:szCs w:val="24"/>
                <w:lang w:val="zh-CN"/>
              </w:rPr>
              <w:t xml:space="preserve">内置放大器最高分辨率：≤2μV(r.m.s) </w:t>
            </w:r>
          </w:p>
        </w:tc>
      </w:tr>
      <w:tr w14:paraId="177A5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05BA6D68">
            <w:pPr>
              <w:adjustRightInd w:val="0"/>
              <w:snapToGrid w:val="0"/>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2.12</w:t>
            </w:r>
          </w:p>
        </w:tc>
        <w:tc>
          <w:tcPr>
            <w:tcW w:w="8481" w:type="dxa"/>
            <w:shd w:val="clear" w:color="auto" w:fill="auto"/>
            <w:vAlign w:val="center"/>
          </w:tcPr>
          <w:p w14:paraId="71937415">
            <w:pPr>
              <w:rPr>
                <w:rFonts w:hint="eastAsia" w:ascii="仿宋" w:hAnsi="仿宋" w:eastAsia="仿宋" w:cs="仿宋"/>
                <w:kern w:val="2"/>
                <w:sz w:val="24"/>
                <w:szCs w:val="24"/>
                <w:lang w:val="zh-CN" w:eastAsia="zh-CN" w:bidi="ar-SA"/>
              </w:rPr>
            </w:pPr>
            <w:r>
              <w:rPr>
                <w:rFonts w:hint="eastAsia" w:ascii="仿宋" w:hAnsi="仿宋" w:eastAsia="仿宋" w:cs="仿宋"/>
                <w:kern w:val="0"/>
                <w:sz w:val="24"/>
                <w:szCs w:val="24"/>
                <w:lang w:val="zh-CN"/>
              </w:rPr>
              <w:t>内置放大器输入噪声＜1μV（r.m.s）</w:t>
            </w:r>
          </w:p>
        </w:tc>
      </w:tr>
      <w:tr w14:paraId="6324A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3D2ECD0">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sz w:val="24"/>
                <w:szCs w:val="24"/>
              </w:rPr>
              <w:t>2.13</w:t>
            </w:r>
          </w:p>
        </w:tc>
        <w:tc>
          <w:tcPr>
            <w:tcW w:w="8481" w:type="dxa"/>
            <w:shd w:val="clear" w:color="auto" w:fill="auto"/>
            <w:vAlign w:val="center"/>
          </w:tcPr>
          <w:p w14:paraId="2C74217E">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刺激波形：双相平衡波</w:t>
            </w:r>
          </w:p>
        </w:tc>
      </w:tr>
      <w:tr w14:paraId="5F4F4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39CCA5A">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sz w:val="24"/>
                <w:szCs w:val="24"/>
              </w:rPr>
              <w:t>△2.14</w:t>
            </w:r>
          </w:p>
        </w:tc>
        <w:tc>
          <w:tcPr>
            <w:tcW w:w="8481" w:type="dxa"/>
            <w:shd w:val="clear" w:color="auto" w:fill="auto"/>
            <w:vAlign w:val="center"/>
          </w:tcPr>
          <w:p w14:paraId="1844ABD3">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具有多部位联合治疗、儿童基础康复和评估反馈三大工作模块，且可根据患儿需求编辑个性化治疗方案。</w:t>
            </w:r>
          </w:p>
        </w:tc>
      </w:tr>
      <w:tr w14:paraId="71991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D232F36">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sz w:val="24"/>
                <w:szCs w:val="24"/>
              </w:rPr>
              <w:t>△2.15</w:t>
            </w:r>
          </w:p>
        </w:tc>
        <w:tc>
          <w:tcPr>
            <w:tcW w:w="8481" w:type="dxa"/>
            <w:shd w:val="clear" w:color="auto" w:fill="auto"/>
            <w:vAlign w:val="center"/>
          </w:tcPr>
          <w:p w14:paraId="74915C65">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针对上肢、下肢、头颈及躯干，内置</w:t>
            </w:r>
            <w:r>
              <w:rPr>
                <w:rFonts w:hint="eastAsia" w:ascii="仿宋" w:hAnsi="仿宋" w:eastAsia="仿宋" w:cs="仿宋"/>
                <w:kern w:val="0"/>
                <w:sz w:val="24"/>
                <w:szCs w:val="24"/>
                <w:lang w:val="en-US" w:eastAsia="zh-CN"/>
              </w:rPr>
              <w:t>至少</w:t>
            </w:r>
            <w:r>
              <w:rPr>
                <w:rFonts w:hint="eastAsia" w:ascii="仿宋" w:hAnsi="仿宋" w:eastAsia="仿宋" w:cs="仿宋"/>
                <w:kern w:val="0"/>
                <w:sz w:val="24"/>
                <w:szCs w:val="24"/>
                <w:lang w:val="zh-CN"/>
              </w:rPr>
              <w:t>十</w:t>
            </w:r>
            <w:r>
              <w:rPr>
                <w:rFonts w:hint="eastAsia" w:ascii="仿宋" w:hAnsi="仿宋" w:eastAsia="仿宋" w:cs="仿宋"/>
                <w:kern w:val="0"/>
                <w:sz w:val="24"/>
                <w:szCs w:val="24"/>
                <w:lang w:val="en-US" w:eastAsia="zh-CN"/>
              </w:rPr>
              <w:t>五</w:t>
            </w:r>
            <w:r>
              <w:rPr>
                <w:rFonts w:hint="eastAsia" w:ascii="仿宋" w:hAnsi="仿宋" w:eastAsia="仿宋" w:cs="仿宋"/>
                <w:kern w:val="0"/>
                <w:sz w:val="24"/>
                <w:szCs w:val="24"/>
                <w:lang w:val="zh-CN"/>
              </w:rPr>
              <w:t>种多部位联合治疗专用方案，包括：上肢支撑欠佳、肩关节半脱位等常用方案，内置</w:t>
            </w:r>
            <w:r>
              <w:rPr>
                <w:rFonts w:hint="eastAsia" w:ascii="仿宋" w:hAnsi="仿宋" w:eastAsia="仿宋" w:cs="仿宋"/>
                <w:kern w:val="0"/>
                <w:sz w:val="24"/>
                <w:szCs w:val="24"/>
                <w:lang w:val="en-US" w:eastAsia="zh-CN"/>
              </w:rPr>
              <w:t>至少</w:t>
            </w:r>
            <w:r>
              <w:rPr>
                <w:rFonts w:hint="eastAsia" w:ascii="仿宋" w:hAnsi="仿宋" w:eastAsia="仿宋" w:cs="仿宋"/>
                <w:kern w:val="0"/>
                <w:sz w:val="24"/>
                <w:szCs w:val="24"/>
                <w:lang w:val="zh-CN"/>
              </w:rPr>
              <w:t>二十种儿童基础康复方案，包括针对不同部位的肌力增强，解痉挛方案等。</w:t>
            </w:r>
          </w:p>
        </w:tc>
      </w:tr>
      <w:tr w14:paraId="58D72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F2DF9F5">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sz w:val="24"/>
                <w:szCs w:val="24"/>
              </w:rPr>
              <w:t>2.1</w:t>
            </w:r>
            <w:r>
              <w:rPr>
                <w:rFonts w:hint="eastAsia" w:ascii="仿宋" w:hAnsi="仿宋" w:eastAsia="仿宋" w:cs="仿宋"/>
                <w:sz w:val="24"/>
                <w:szCs w:val="24"/>
                <w:lang w:val="en-US" w:eastAsia="zh-CN"/>
              </w:rPr>
              <w:t>6</w:t>
            </w:r>
          </w:p>
        </w:tc>
        <w:tc>
          <w:tcPr>
            <w:tcW w:w="8481" w:type="dxa"/>
            <w:shd w:val="clear" w:color="auto" w:fill="auto"/>
            <w:vAlign w:val="center"/>
          </w:tcPr>
          <w:p w14:paraId="6078BAF2">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具有神经肌肉电刺激功能。</w:t>
            </w:r>
          </w:p>
        </w:tc>
      </w:tr>
      <w:tr w14:paraId="059AE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BAFD4F9">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sz w:val="24"/>
                <w:szCs w:val="24"/>
              </w:rPr>
              <w:t>2.1</w:t>
            </w:r>
            <w:r>
              <w:rPr>
                <w:rFonts w:hint="eastAsia" w:ascii="仿宋" w:hAnsi="仿宋" w:eastAsia="仿宋" w:cs="仿宋"/>
                <w:sz w:val="24"/>
                <w:szCs w:val="24"/>
                <w:lang w:val="en-US" w:eastAsia="zh-CN"/>
              </w:rPr>
              <w:t>7</w:t>
            </w:r>
          </w:p>
        </w:tc>
        <w:tc>
          <w:tcPr>
            <w:tcW w:w="8481" w:type="dxa"/>
            <w:shd w:val="clear" w:color="auto" w:fill="auto"/>
            <w:vAlign w:val="center"/>
          </w:tcPr>
          <w:p w14:paraId="6D31168B">
            <w:pPr>
              <w:autoSpaceDE w:val="0"/>
              <w:autoSpaceDN w:val="0"/>
              <w:adjustRightInd w:val="0"/>
              <w:jc w:val="left"/>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具有双通道肌电触发电刺激功能；强化正反馈，根据肌电信号实时改变电刺激强度，肌电值越大，电流强度也越大；强调患者的主观运动，并提供积极、正向的反馈，帮助患者最大限度的恢复运动功能。</w:t>
            </w:r>
          </w:p>
        </w:tc>
      </w:tr>
      <w:tr w14:paraId="4F0E0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FEDDF5B">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sz w:val="24"/>
                <w:szCs w:val="24"/>
              </w:rPr>
              <w:t>△2.1</w:t>
            </w:r>
            <w:r>
              <w:rPr>
                <w:rFonts w:hint="eastAsia" w:ascii="仿宋" w:hAnsi="仿宋" w:eastAsia="仿宋" w:cs="仿宋"/>
                <w:sz w:val="24"/>
                <w:szCs w:val="24"/>
                <w:lang w:val="en-US" w:eastAsia="zh-CN"/>
              </w:rPr>
              <w:t>8</w:t>
            </w:r>
          </w:p>
        </w:tc>
        <w:tc>
          <w:tcPr>
            <w:tcW w:w="8481" w:type="dxa"/>
            <w:shd w:val="clear" w:color="auto" w:fill="auto"/>
            <w:vAlign w:val="center"/>
          </w:tcPr>
          <w:p w14:paraId="5F71C7E6">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具有对侧控制型功能电刺激功能；以健侧肌电信号控制患侧进行对称性运动，提供双侧的皮质驱动，重塑中枢；促进患者主动再学习，恢复其对患侧的控制能力，激发患者康复的信心</w:t>
            </w:r>
            <w:r>
              <w:rPr>
                <w:rFonts w:hint="eastAsia" w:ascii="仿宋" w:hAnsi="仿宋" w:eastAsia="仿宋" w:cs="仿宋"/>
                <w:sz w:val="24"/>
                <w:szCs w:val="24"/>
              </w:rPr>
              <w:t>。</w:t>
            </w:r>
          </w:p>
        </w:tc>
      </w:tr>
      <w:tr w14:paraId="03CE5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CF42BA4">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19</w:t>
            </w:r>
          </w:p>
        </w:tc>
        <w:tc>
          <w:tcPr>
            <w:tcW w:w="8481" w:type="dxa"/>
            <w:shd w:val="clear" w:color="auto" w:fill="auto"/>
            <w:vAlign w:val="center"/>
          </w:tcPr>
          <w:p w14:paraId="3EF1E573">
            <w:pP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zh-CN"/>
              </w:rPr>
              <w:t>神经肌肉电刺激方案可实现多人，多通道，多方案，不同步治疗。</w:t>
            </w:r>
          </w:p>
        </w:tc>
      </w:tr>
      <w:tr w14:paraId="7A048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45EEAF1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2.20</w:t>
            </w:r>
          </w:p>
        </w:tc>
        <w:tc>
          <w:tcPr>
            <w:tcW w:w="8481" w:type="dxa"/>
            <w:shd w:val="clear" w:color="auto" w:fill="auto"/>
            <w:vAlign w:val="center"/>
          </w:tcPr>
          <w:p w14:paraId="6B436522">
            <w:pPr>
              <w:rPr>
                <w:rFonts w:hint="eastAsia" w:ascii="仿宋" w:hAnsi="仿宋" w:eastAsia="仿宋" w:cs="仿宋"/>
                <w:kern w:val="0"/>
                <w:sz w:val="24"/>
                <w:szCs w:val="24"/>
                <w:lang w:val="zh-CN" w:eastAsia="zh-CN" w:bidi="ar-SA"/>
              </w:rPr>
            </w:pPr>
            <w:r>
              <w:rPr>
                <w:rFonts w:hint="eastAsia" w:ascii="仿宋" w:hAnsi="仿宋" w:eastAsia="仿宋" w:cs="仿宋"/>
                <w:kern w:val="0"/>
                <w:sz w:val="24"/>
                <w:szCs w:val="24"/>
                <w:lang w:val="zh-CN"/>
              </w:rPr>
              <w:t>具有时序模式和独立刺激模式可选，提供全面的康复治疗方案。</w:t>
            </w:r>
          </w:p>
        </w:tc>
      </w:tr>
      <w:tr w14:paraId="2BF55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6DAD42BB">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2.21</w:t>
            </w:r>
          </w:p>
        </w:tc>
        <w:tc>
          <w:tcPr>
            <w:tcW w:w="8481" w:type="dxa"/>
            <w:shd w:val="clear" w:color="auto" w:fill="auto"/>
            <w:vAlign w:val="center"/>
          </w:tcPr>
          <w:p w14:paraId="1B559322">
            <w:pPr>
              <w:rPr>
                <w:rFonts w:hint="eastAsia" w:ascii="仿宋" w:hAnsi="仿宋" w:eastAsia="仿宋" w:cs="仿宋"/>
                <w:kern w:val="0"/>
                <w:sz w:val="24"/>
                <w:szCs w:val="24"/>
                <w:lang w:val="zh-CN" w:eastAsia="zh-CN" w:bidi="ar-SA"/>
              </w:rPr>
            </w:pPr>
            <w:r>
              <w:rPr>
                <w:rFonts w:hint="eastAsia" w:ascii="仿宋" w:hAnsi="仿宋" w:eastAsia="仿宋" w:cs="仿宋"/>
                <w:kern w:val="0"/>
                <w:sz w:val="24"/>
                <w:szCs w:val="24"/>
                <w:lang w:val="zh-CN"/>
              </w:rPr>
              <w:t>具有吞咽功能障碍治疗方案，并配有专用吞咽电极片。</w:t>
            </w:r>
          </w:p>
        </w:tc>
      </w:tr>
      <w:tr w14:paraId="37B0E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1AD565F3">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2.22</w:t>
            </w:r>
          </w:p>
        </w:tc>
        <w:tc>
          <w:tcPr>
            <w:tcW w:w="8481" w:type="dxa"/>
            <w:shd w:val="clear" w:color="auto" w:fill="auto"/>
            <w:vAlign w:val="center"/>
          </w:tcPr>
          <w:p w14:paraId="55741D02">
            <w:pPr>
              <w:rPr>
                <w:rFonts w:hint="eastAsia" w:ascii="仿宋" w:hAnsi="仿宋" w:eastAsia="仿宋" w:cs="仿宋"/>
                <w:kern w:val="0"/>
                <w:sz w:val="24"/>
                <w:szCs w:val="24"/>
                <w:lang w:val="zh-CN" w:eastAsia="zh-CN" w:bidi="ar-SA"/>
              </w:rPr>
            </w:pPr>
            <w:r>
              <w:rPr>
                <w:rFonts w:hint="eastAsia" w:ascii="仿宋" w:hAnsi="仿宋" w:eastAsia="仿宋" w:cs="仿宋"/>
                <w:kern w:val="0"/>
                <w:sz w:val="24"/>
                <w:szCs w:val="24"/>
                <w:lang w:val="zh-CN"/>
              </w:rPr>
              <w:t>可编辑个性化治疗方案，自定义临床方案刺激时间、间歇时间、波升时间、波降时间、刺激频率、脉宽可调，且推荐临床常用的治疗参数。</w:t>
            </w:r>
          </w:p>
        </w:tc>
      </w:tr>
      <w:tr w14:paraId="749EB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6BF75E37">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2.23</w:t>
            </w:r>
          </w:p>
        </w:tc>
        <w:tc>
          <w:tcPr>
            <w:tcW w:w="8481" w:type="dxa"/>
            <w:shd w:val="clear" w:color="auto" w:fill="auto"/>
            <w:vAlign w:val="center"/>
          </w:tcPr>
          <w:p w14:paraId="70C4FA07">
            <w:pPr>
              <w:autoSpaceDE w:val="0"/>
              <w:autoSpaceDN w:val="0"/>
              <w:adjustRightInd w:val="0"/>
              <w:jc w:val="left"/>
              <w:rPr>
                <w:rFonts w:hint="eastAsia" w:ascii="仿宋" w:hAnsi="仿宋" w:eastAsia="仿宋" w:cs="仿宋"/>
                <w:kern w:val="0"/>
                <w:sz w:val="24"/>
                <w:szCs w:val="24"/>
                <w:lang w:val="zh-CN" w:eastAsia="zh-CN" w:bidi="ar-SA"/>
              </w:rPr>
            </w:pPr>
            <w:r>
              <w:rPr>
                <w:rFonts w:hint="eastAsia" w:ascii="仿宋" w:hAnsi="仿宋" w:eastAsia="仿宋" w:cs="仿宋"/>
                <w:kern w:val="0"/>
                <w:sz w:val="24"/>
                <w:szCs w:val="24"/>
                <w:lang w:val="zh-CN"/>
              </w:rPr>
              <w:t>提供常规刺激、载波调制和变频电刺激三种刺激形式选择，方案通道可自定义。</w:t>
            </w:r>
          </w:p>
        </w:tc>
      </w:tr>
      <w:tr w14:paraId="11A7F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52461678">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2.24</w:t>
            </w:r>
          </w:p>
        </w:tc>
        <w:tc>
          <w:tcPr>
            <w:tcW w:w="8481" w:type="dxa"/>
            <w:shd w:val="clear" w:color="auto" w:fill="auto"/>
            <w:vAlign w:val="center"/>
          </w:tcPr>
          <w:p w14:paraId="13C508C4">
            <w:pPr>
              <w:autoSpaceDE w:val="0"/>
              <w:autoSpaceDN w:val="0"/>
              <w:adjustRightInd w:val="0"/>
              <w:jc w:val="left"/>
              <w:rPr>
                <w:rFonts w:hint="eastAsia" w:ascii="仿宋" w:hAnsi="仿宋" w:eastAsia="仿宋" w:cs="仿宋"/>
                <w:kern w:val="0"/>
                <w:sz w:val="24"/>
                <w:szCs w:val="24"/>
                <w:lang w:val="zh-CN" w:eastAsia="zh-CN" w:bidi="ar-SA"/>
              </w:rPr>
            </w:pPr>
            <w:r>
              <w:rPr>
                <w:rFonts w:hint="eastAsia" w:ascii="仿宋" w:hAnsi="仿宋" w:eastAsia="仿宋" w:cs="仿宋"/>
                <w:kern w:val="0"/>
                <w:sz w:val="24"/>
                <w:szCs w:val="24"/>
                <w:lang w:val="zh-CN"/>
              </w:rPr>
              <w:t>具备表面肌电评估功能，实时评估患者肌力情况，可出具评估报告，评估报告可存储及导出。</w:t>
            </w:r>
          </w:p>
        </w:tc>
      </w:tr>
      <w:tr w14:paraId="3B0A5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067798E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2.25</w:t>
            </w:r>
          </w:p>
        </w:tc>
        <w:tc>
          <w:tcPr>
            <w:tcW w:w="8481" w:type="dxa"/>
            <w:shd w:val="clear" w:color="auto" w:fill="auto"/>
            <w:vAlign w:val="center"/>
          </w:tcPr>
          <w:p w14:paraId="5B05221A">
            <w:pPr>
              <w:autoSpaceDE w:val="0"/>
              <w:autoSpaceDN w:val="0"/>
              <w:adjustRightInd w:val="0"/>
              <w:jc w:val="left"/>
              <w:rPr>
                <w:rFonts w:hint="eastAsia" w:ascii="仿宋" w:hAnsi="仿宋" w:eastAsia="仿宋" w:cs="仿宋"/>
                <w:kern w:val="0"/>
                <w:sz w:val="24"/>
                <w:szCs w:val="24"/>
                <w:lang w:val="zh-CN" w:eastAsia="zh-CN" w:bidi="ar-SA"/>
              </w:rPr>
            </w:pPr>
            <w:r>
              <w:rPr>
                <w:rFonts w:hint="eastAsia" w:ascii="仿宋" w:hAnsi="仿宋" w:eastAsia="仿宋" w:cs="仿宋"/>
                <w:kern w:val="0"/>
                <w:sz w:val="24"/>
                <w:szCs w:val="24"/>
                <w:lang w:val="zh-CN"/>
              </w:rPr>
              <w:t>具有专业两通道脑瘫评估功能，针对脑瘫患儿对放松期、被动功能位及自主收缩进行测试。</w:t>
            </w:r>
          </w:p>
        </w:tc>
      </w:tr>
      <w:tr w14:paraId="7E2B0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2918FCAB">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2.26</w:t>
            </w:r>
          </w:p>
        </w:tc>
        <w:tc>
          <w:tcPr>
            <w:tcW w:w="8481" w:type="dxa"/>
            <w:shd w:val="clear" w:color="auto" w:fill="auto"/>
            <w:vAlign w:val="center"/>
          </w:tcPr>
          <w:p w14:paraId="324A8C6F">
            <w:pPr>
              <w:autoSpaceDE w:val="0"/>
              <w:autoSpaceDN w:val="0"/>
              <w:adjustRightInd w:val="0"/>
              <w:jc w:val="left"/>
              <w:rPr>
                <w:rFonts w:hint="eastAsia" w:ascii="仿宋" w:hAnsi="仿宋" w:eastAsia="仿宋" w:cs="仿宋"/>
                <w:kern w:val="0"/>
                <w:sz w:val="24"/>
                <w:szCs w:val="24"/>
                <w:lang w:val="zh-CN" w:eastAsia="zh-CN" w:bidi="ar-SA"/>
              </w:rPr>
            </w:pPr>
            <w:r>
              <w:rPr>
                <w:rFonts w:hint="eastAsia" w:ascii="仿宋" w:hAnsi="仿宋" w:eastAsia="仿宋" w:cs="仿宋"/>
                <w:kern w:val="0"/>
                <w:sz w:val="24"/>
                <w:szCs w:val="24"/>
                <w:lang w:val="zh-CN"/>
              </w:rPr>
              <w:t>具备多媒体生物反馈训练功能，可进行肌力放松、增强、耐力、协调、精准训练。</w:t>
            </w:r>
          </w:p>
        </w:tc>
      </w:tr>
      <w:tr w14:paraId="42B91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7532BAA0">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2.27</w:t>
            </w:r>
          </w:p>
        </w:tc>
        <w:tc>
          <w:tcPr>
            <w:tcW w:w="8481" w:type="dxa"/>
            <w:shd w:val="clear" w:color="auto" w:fill="auto"/>
            <w:vAlign w:val="center"/>
          </w:tcPr>
          <w:p w14:paraId="56D6C1A7">
            <w:pPr>
              <w:autoSpaceDE w:val="0"/>
              <w:autoSpaceDN w:val="0"/>
              <w:adjustRightInd w:val="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可对系统基本参数进行设置，包括屏幕校准，亮度调节，时间调节以及软件程序更新等。</w:t>
            </w:r>
          </w:p>
        </w:tc>
      </w:tr>
      <w:tr w14:paraId="0F5AF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1D5E83F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2.28</w:t>
            </w:r>
          </w:p>
        </w:tc>
        <w:tc>
          <w:tcPr>
            <w:tcW w:w="8481" w:type="dxa"/>
            <w:shd w:val="clear" w:color="auto" w:fill="auto"/>
            <w:vAlign w:val="center"/>
          </w:tcPr>
          <w:p w14:paraId="2A0A5A4E">
            <w:pPr>
              <w:autoSpaceDE w:val="0"/>
              <w:autoSpaceDN w:val="0"/>
              <w:adjustRightInd w:val="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支持设备级联，可多台设备同时操作，拓展≥8通道，同时开启治疗。</w:t>
            </w:r>
          </w:p>
        </w:tc>
      </w:tr>
      <w:tr w14:paraId="48913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A6C6AE5">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c>
          <w:tcPr>
            <w:tcW w:w="8481" w:type="dxa"/>
            <w:vAlign w:val="center"/>
          </w:tcPr>
          <w:p w14:paraId="7AC2CEA6">
            <w:pPr>
              <w:spacing w:line="360" w:lineRule="exact"/>
              <w:jc w:val="left"/>
              <w:rPr>
                <w:rFonts w:hint="eastAsia" w:ascii="仿宋" w:hAnsi="仿宋" w:eastAsia="仿宋" w:cs="仿宋"/>
                <w:bCs/>
                <w:sz w:val="24"/>
                <w:szCs w:val="24"/>
              </w:rPr>
            </w:pPr>
            <w:r>
              <w:rPr>
                <w:rFonts w:hint="eastAsia" w:ascii="仿宋" w:hAnsi="仿宋" w:eastAsia="仿宋" w:cs="仿宋"/>
                <w:b/>
                <w:sz w:val="24"/>
                <w:szCs w:val="24"/>
              </w:rPr>
              <w:t>配置要求</w:t>
            </w:r>
          </w:p>
        </w:tc>
      </w:tr>
      <w:tr w14:paraId="66C57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B978DDE">
            <w:pPr>
              <w:spacing w:line="360" w:lineRule="exact"/>
              <w:jc w:val="center"/>
              <w:rPr>
                <w:rFonts w:hint="eastAsia" w:ascii="仿宋" w:hAnsi="仿宋" w:eastAsia="仿宋" w:cs="仿宋"/>
                <w:b/>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.1</w:t>
            </w:r>
          </w:p>
        </w:tc>
        <w:tc>
          <w:tcPr>
            <w:tcW w:w="8481" w:type="dxa"/>
            <w:vAlign w:val="center"/>
          </w:tcPr>
          <w:p w14:paraId="4B4B8EB6">
            <w:pPr>
              <w:autoSpaceDE w:val="0"/>
              <w:autoSpaceDN w:val="0"/>
              <w:adjustRightInd w:val="0"/>
              <w:jc w:val="left"/>
              <w:rPr>
                <w:rFonts w:hint="eastAsia" w:ascii="仿宋" w:hAnsi="仿宋" w:eastAsia="仿宋" w:cs="仿宋"/>
                <w:b/>
                <w:bCs/>
                <w:sz w:val="24"/>
                <w:szCs w:val="24"/>
              </w:rPr>
            </w:pPr>
            <w:r>
              <w:rPr>
                <w:rFonts w:hint="eastAsia" w:ascii="仿宋" w:hAnsi="仿宋" w:eastAsia="仿宋" w:cs="仿宋"/>
                <w:b w:val="0"/>
                <w:bCs w:val="0"/>
                <w:kern w:val="0"/>
                <w:sz w:val="24"/>
                <w:szCs w:val="24"/>
                <w:lang w:val="en-US" w:eastAsia="zh-CN"/>
              </w:rPr>
              <w:t>生物刺激反馈仪  1台</w:t>
            </w:r>
          </w:p>
        </w:tc>
      </w:tr>
      <w:tr w14:paraId="0425B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8AAE088">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.2</w:t>
            </w:r>
          </w:p>
        </w:tc>
        <w:tc>
          <w:tcPr>
            <w:tcW w:w="8481" w:type="dxa"/>
            <w:vAlign w:val="center"/>
          </w:tcPr>
          <w:p w14:paraId="5C8A7A50">
            <w:pPr>
              <w:autoSpaceDE w:val="0"/>
              <w:autoSpaceDN w:val="0"/>
              <w:adjustRightInd w:val="0"/>
              <w:jc w:val="left"/>
              <w:rPr>
                <w:rFonts w:hint="eastAsia" w:ascii="仿宋" w:hAnsi="仿宋" w:eastAsia="仿宋" w:cs="仿宋"/>
                <w:sz w:val="24"/>
                <w:szCs w:val="24"/>
              </w:rPr>
            </w:pPr>
            <w:r>
              <w:rPr>
                <w:rFonts w:hint="eastAsia" w:ascii="仿宋" w:hAnsi="仿宋" w:eastAsia="仿宋" w:cs="仿宋"/>
                <w:b w:val="0"/>
                <w:bCs w:val="0"/>
                <w:kern w:val="0"/>
                <w:sz w:val="24"/>
                <w:szCs w:val="24"/>
                <w:lang w:val="en-US" w:eastAsia="zh-CN"/>
              </w:rPr>
              <w:t>移动推车  1台</w:t>
            </w:r>
          </w:p>
        </w:tc>
      </w:tr>
      <w:tr w14:paraId="0CA14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688D3CB">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3.3</w:t>
            </w:r>
          </w:p>
        </w:tc>
        <w:tc>
          <w:tcPr>
            <w:tcW w:w="8481" w:type="dxa"/>
            <w:vAlign w:val="center"/>
          </w:tcPr>
          <w:p w14:paraId="7AA39015">
            <w:pPr>
              <w:rPr>
                <w:rFonts w:hint="eastAsia" w:ascii="仿宋" w:hAnsi="仿宋" w:eastAsia="仿宋" w:cs="仿宋"/>
                <w:sz w:val="24"/>
                <w:szCs w:val="24"/>
                <w:lang w:val="en-US"/>
              </w:rPr>
            </w:pPr>
            <w:r>
              <w:rPr>
                <w:rFonts w:hint="eastAsia" w:ascii="仿宋" w:hAnsi="仿宋" w:eastAsia="仿宋" w:cs="仿宋"/>
                <w:b w:val="0"/>
                <w:bCs/>
                <w:sz w:val="24"/>
                <w:szCs w:val="24"/>
                <w:lang w:val="en-US" w:eastAsia="zh-CN"/>
              </w:rPr>
              <w:t>电极线  6条</w:t>
            </w:r>
          </w:p>
        </w:tc>
      </w:tr>
    </w:tbl>
    <w:p w14:paraId="3C01E6E4">
      <w:pPr>
        <w:snapToGrid/>
        <w:spacing w:before="0" w:beforeAutospacing="0" w:after="0" w:afterAutospacing="0" w:line="360" w:lineRule="auto"/>
        <w:ind w:left="0" w:leftChars="0" w:right="0" w:firstLineChars="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p>
    <w:p w14:paraId="7B63915D">
      <w:pPr>
        <w:snapToGrid/>
        <w:spacing w:before="0" w:beforeAutospacing="0" w:after="0" w:afterAutospacing="0" w:line="360" w:lineRule="auto"/>
        <w:ind w:left="0" w:leftChars="0" w:right="0" w:firstLineChars="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三、其它要求：</w:t>
      </w:r>
    </w:p>
    <w:p w14:paraId="52B3CA7F">
      <w:pPr>
        <w:snapToGrid/>
        <w:spacing w:before="0" w:beforeAutospacing="0" w:after="0" w:afterAutospacing="0" w:line="360" w:lineRule="auto"/>
        <w:ind w:left="0" w:leftChars="0" w:right="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1.响应文件内需提供医疗器械注册证、设备彩页、供应商三证等资料。</w:t>
      </w:r>
    </w:p>
    <w:p w14:paraId="1498E4BD">
      <w:pPr>
        <w:snapToGrid/>
        <w:spacing w:before="0" w:beforeAutospacing="0" w:after="0" w:afterAutospacing="0" w:line="360" w:lineRule="auto"/>
        <w:ind w:left="0" w:leftChars="0" w:right="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2.响应文件需提供所有易耗件及主要配件的价格清单，如未提供，均视为500元以下并写入合同中。</w:t>
      </w:r>
    </w:p>
    <w:p w14:paraId="0C1B68C2">
      <w:pPr>
        <w:snapToGrid/>
        <w:spacing w:before="0" w:beforeAutospacing="0" w:after="0" w:afterAutospacing="0" w:line="360" w:lineRule="auto"/>
        <w:ind w:left="0" w:leftChars="0" w:right="0"/>
        <w:jc w:val="both"/>
        <w:textAlignment w:val="baseline"/>
        <w:rPr>
          <w:rStyle w:val="14"/>
          <w:rFonts w:hint="eastAsia" w:ascii="仿宋" w:hAnsi="仿宋" w:eastAsia="仿宋" w:cs="仿宋"/>
          <w:b w:val="0"/>
          <w:bCs w:val="0"/>
          <w:i w:val="0"/>
          <w:caps w:val="0"/>
          <w:spacing w:val="0"/>
          <w:w w:val="100"/>
          <w:kern w:val="2"/>
          <w:sz w:val="24"/>
          <w:szCs w:val="24"/>
          <w:lang w:val="en-US" w:eastAsia="zh-CN"/>
        </w:rPr>
      </w:pPr>
      <w:r>
        <w:rPr>
          <w:rStyle w:val="14"/>
          <w:rFonts w:hint="eastAsia" w:ascii="仿宋" w:hAnsi="仿宋" w:eastAsia="仿宋" w:cs="仿宋"/>
          <w:b w:val="0"/>
          <w:bCs w:val="0"/>
          <w:i w:val="0"/>
          <w:caps w:val="0"/>
          <w:spacing w:val="0"/>
          <w:w w:val="100"/>
          <w:kern w:val="2"/>
          <w:sz w:val="24"/>
          <w:szCs w:val="24"/>
          <w:lang w:val="en-US" w:eastAsia="zh-CN"/>
        </w:rPr>
        <w:t>3.需提供浙江省内用户清单及所投设备近3年内五份以上不同用户的成交合同（有双方盖章）。</w:t>
      </w:r>
    </w:p>
    <w:p w14:paraId="4ED73B25">
      <w:pPr>
        <w:rPr>
          <w:rFonts w:hint="eastAsia" w:ascii="仿宋" w:hAnsi="仿宋" w:eastAsia="仿宋" w:cs="仿宋"/>
          <w:i w:val="0"/>
          <w:iCs w:val="0"/>
          <w:caps w:val="0"/>
          <w:color w:val="171A1D"/>
          <w:spacing w:val="0"/>
          <w:sz w:val="24"/>
          <w:szCs w:val="24"/>
          <w:shd w:val="clear" w:fill="FFFFFF"/>
          <w:lang w:eastAsia="zh-CN"/>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i w:val="0"/>
          <w:iCs w:val="0"/>
          <w:caps w:val="0"/>
          <w:color w:val="171A1D"/>
          <w:spacing w:val="0"/>
          <w:sz w:val="24"/>
          <w:szCs w:val="24"/>
          <w:shd w:val="clear" w:fill="FFFFFF"/>
        </w:rPr>
        <w:t>▲条款为废标项，</w:t>
      </w:r>
      <w:r>
        <w:rPr>
          <w:rFonts w:hint="eastAsia" w:ascii="仿宋" w:hAnsi="仿宋" w:eastAsia="仿宋" w:cs="仿宋"/>
          <w:sz w:val="24"/>
          <w:szCs w:val="24"/>
        </w:rPr>
        <w:t>△</w:t>
      </w:r>
      <w:r>
        <w:rPr>
          <w:rFonts w:hint="eastAsia" w:ascii="仿宋" w:hAnsi="仿宋" w:eastAsia="仿宋" w:cs="仿宋"/>
          <w:i w:val="0"/>
          <w:iCs w:val="0"/>
          <w:caps w:val="0"/>
          <w:color w:val="171A1D"/>
          <w:spacing w:val="0"/>
          <w:sz w:val="24"/>
          <w:szCs w:val="24"/>
          <w:shd w:val="clear" w:fill="FFFFFF"/>
        </w:rPr>
        <w:t>条款是重要参数</w:t>
      </w:r>
      <w:r>
        <w:rPr>
          <w:rFonts w:hint="eastAsia" w:ascii="仿宋" w:hAnsi="仿宋" w:eastAsia="仿宋" w:cs="仿宋"/>
          <w:i w:val="0"/>
          <w:iCs w:val="0"/>
          <w:caps w:val="0"/>
          <w:color w:val="171A1D"/>
          <w:spacing w:val="0"/>
          <w:sz w:val="24"/>
          <w:szCs w:val="24"/>
          <w:shd w:val="clear" w:fill="FFFFFF"/>
          <w:lang w:eastAsia="zh-CN"/>
        </w:rPr>
        <w:t>。</w:t>
      </w:r>
    </w:p>
    <w:p w14:paraId="7E3E1397">
      <w:pPr>
        <w:rPr>
          <w:rFonts w:hint="default" w:ascii="微软雅黑" w:hAnsi="微软雅黑" w:eastAsia="微软雅黑" w:cs="微软雅黑"/>
          <w:i w:val="0"/>
          <w:iCs w:val="0"/>
          <w:caps w:val="0"/>
          <w:color w:val="171A1D"/>
          <w:spacing w:val="0"/>
          <w:sz w:val="24"/>
          <w:szCs w:val="24"/>
          <w:shd w:val="clear" w:fill="FFFFFF"/>
          <w:lang w:val="en-US" w:eastAsia="zh-CN"/>
        </w:rPr>
      </w:pPr>
    </w:p>
    <w:sectPr>
      <w:pgSz w:w="11906" w:h="16838"/>
      <w:pgMar w:top="1701" w:right="1843" w:bottom="1701" w:left="18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C4634"/>
    <w:multiLevelType w:val="multilevel"/>
    <w:tmpl w:val="4C4C4634"/>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zE3MWNlYWJjODUzN2JjYzFlOWI5ZGU2ZjJlMzYifQ=="/>
  </w:docVars>
  <w:rsids>
    <w:rsidRoot w:val="00345C16"/>
    <w:rsid w:val="000E5D71"/>
    <w:rsid w:val="00345C16"/>
    <w:rsid w:val="007E208C"/>
    <w:rsid w:val="00E32F20"/>
    <w:rsid w:val="010E2B71"/>
    <w:rsid w:val="01B91D0C"/>
    <w:rsid w:val="01DA7D0E"/>
    <w:rsid w:val="03816346"/>
    <w:rsid w:val="03952B31"/>
    <w:rsid w:val="047014B3"/>
    <w:rsid w:val="05202CEB"/>
    <w:rsid w:val="05301099"/>
    <w:rsid w:val="059330C1"/>
    <w:rsid w:val="05D86140"/>
    <w:rsid w:val="05EC4AC6"/>
    <w:rsid w:val="062D609A"/>
    <w:rsid w:val="06C42026"/>
    <w:rsid w:val="070F30CC"/>
    <w:rsid w:val="07833FB5"/>
    <w:rsid w:val="07D97DFA"/>
    <w:rsid w:val="07E626E1"/>
    <w:rsid w:val="08DD1286"/>
    <w:rsid w:val="090444CD"/>
    <w:rsid w:val="09265C6E"/>
    <w:rsid w:val="092A7829"/>
    <w:rsid w:val="09ED3ACD"/>
    <w:rsid w:val="0A115858"/>
    <w:rsid w:val="0A232419"/>
    <w:rsid w:val="0A247879"/>
    <w:rsid w:val="0A966464"/>
    <w:rsid w:val="0ACA2E6A"/>
    <w:rsid w:val="0AD11E75"/>
    <w:rsid w:val="0B8D16D7"/>
    <w:rsid w:val="0BC672E3"/>
    <w:rsid w:val="0BCA5823"/>
    <w:rsid w:val="0BED0BFA"/>
    <w:rsid w:val="0C1A6974"/>
    <w:rsid w:val="0D005828"/>
    <w:rsid w:val="0D850F0E"/>
    <w:rsid w:val="0E2A1FC8"/>
    <w:rsid w:val="0E5C11A3"/>
    <w:rsid w:val="0EFE382F"/>
    <w:rsid w:val="0F844E19"/>
    <w:rsid w:val="10150EA6"/>
    <w:rsid w:val="10341A5C"/>
    <w:rsid w:val="10B710E0"/>
    <w:rsid w:val="10C20AC1"/>
    <w:rsid w:val="110422A3"/>
    <w:rsid w:val="112367FE"/>
    <w:rsid w:val="11A67DF5"/>
    <w:rsid w:val="12173A2C"/>
    <w:rsid w:val="12454887"/>
    <w:rsid w:val="128F2ACE"/>
    <w:rsid w:val="12931866"/>
    <w:rsid w:val="13062AE9"/>
    <w:rsid w:val="13082E2D"/>
    <w:rsid w:val="133B4907"/>
    <w:rsid w:val="134016DD"/>
    <w:rsid w:val="13681041"/>
    <w:rsid w:val="13D17D89"/>
    <w:rsid w:val="14037B8E"/>
    <w:rsid w:val="1421414D"/>
    <w:rsid w:val="1473582B"/>
    <w:rsid w:val="14764144"/>
    <w:rsid w:val="148C5089"/>
    <w:rsid w:val="14CD3D9B"/>
    <w:rsid w:val="15F3754D"/>
    <w:rsid w:val="161D7B84"/>
    <w:rsid w:val="16AA33BC"/>
    <w:rsid w:val="17C45931"/>
    <w:rsid w:val="182F3AFC"/>
    <w:rsid w:val="18502311"/>
    <w:rsid w:val="19BC09CE"/>
    <w:rsid w:val="1A27385F"/>
    <w:rsid w:val="1A495D36"/>
    <w:rsid w:val="1AFF6274"/>
    <w:rsid w:val="1B1A0EE4"/>
    <w:rsid w:val="1B1E5FAF"/>
    <w:rsid w:val="1B6863CA"/>
    <w:rsid w:val="1BA64108"/>
    <w:rsid w:val="1BC26757"/>
    <w:rsid w:val="1BC64342"/>
    <w:rsid w:val="1C9E0EBD"/>
    <w:rsid w:val="1CCE3AB9"/>
    <w:rsid w:val="1CF831E0"/>
    <w:rsid w:val="1D146F39"/>
    <w:rsid w:val="1D495574"/>
    <w:rsid w:val="1D9359FC"/>
    <w:rsid w:val="1DB344D6"/>
    <w:rsid w:val="1E025717"/>
    <w:rsid w:val="1E0864C8"/>
    <w:rsid w:val="1E877D62"/>
    <w:rsid w:val="1E8922D3"/>
    <w:rsid w:val="1F0A4A94"/>
    <w:rsid w:val="1F40527D"/>
    <w:rsid w:val="1FBC44DF"/>
    <w:rsid w:val="20C81854"/>
    <w:rsid w:val="214D2228"/>
    <w:rsid w:val="214E26BD"/>
    <w:rsid w:val="21C67353"/>
    <w:rsid w:val="22152CDA"/>
    <w:rsid w:val="228D5CAF"/>
    <w:rsid w:val="22E01F17"/>
    <w:rsid w:val="23E26E07"/>
    <w:rsid w:val="23FE3B1D"/>
    <w:rsid w:val="24120603"/>
    <w:rsid w:val="2424050F"/>
    <w:rsid w:val="247060CF"/>
    <w:rsid w:val="248A5C85"/>
    <w:rsid w:val="24D16AA5"/>
    <w:rsid w:val="24F33A86"/>
    <w:rsid w:val="24F91FB4"/>
    <w:rsid w:val="251B2213"/>
    <w:rsid w:val="253A3747"/>
    <w:rsid w:val="25822292"/>
    <w:rsid w:val="25C66622"/>
    <w:rsid w:val="26FD510C"/>
    <w:rsid w:val="276238DD"/>
    <w:rsid w:val="28E25504"/>
    <w:rsid w:val="292F5D0D"/>
    <w:rsid w:val="293C10D4"/>
    <w:rsid w:val="29976C5A"/>
    <w:rsid w:val="29E458E5"/>
    <w:rsid w:val="2ABC5510"/>
    <w:rsid w:val="2B7209F5"/>
    <w:rsid w:val="2BD15D21"/>
    <w:rsid w:val="2BE949F5"/>
    <w:rsid w:val="2C4243D7"/>
    <w:rsid w:val="2C540DD0"/>
    <w:rsid w:val="2CAC1800"/>
    <w:rsid w:val="2D3C44DC"/>
    <w:rsid w:val="2D6F21B6"/>
    <w:rsid w:val="2DAE3A82"/>
    <w:rsid w:val="2E692E79"/>
    <w:rsid w:val="2F753F2A"/>
    <w:rsid w:val="2F9B4F5A"/>
    <w:rsid w:val="2FB34FAD"/>
    <w:rsid w:val="2FC17134"/>
    <w:rsid w:val="2FD90FD8"/>
    <w:rsid w:val="301052A5"/>
    <w:rsid w:val="3027662F"/>
    <w:rsid w:val="309D1E8C"/>
    <w:rsid w:val="30C419B0"/>
    <w:rsid w:val="30EC60CF"/>
    <w:rsid w:val="31005F33"/>
    <w:rsid w:val="312E1429"/>
    <w:rsid w:val="315F16D9"/>
    <w:rsid w:val="318F4FCF"/>
    <w:rsid w:val="330C45B0"/>
    <w:rsid w:val="336A0E3A"/>
    <w:rsid w:val="33A81036"/>
    <w:rsid w:val="33E33F8C"/>
    <w:rsid w:val="34585C73"/>
    <w:rsid w:val="34BC2219"/>
    <w:rsid w:val="352E11C9"/>
    <w:rsid w:val="358206A6"/>
    <w:rsid w:val="35D86B96"/>
    <w:rsid w:val="35DC5CFC"/>
    <w:rsid w:val="363F7524"/>
    <w:rsid w:val="365F0FA1"/>
    <w:rsid w:val="36FC0CFD"/>
    <w:rsid w:val="37C75A9B"/>
    <w:rsid w:val="37EA2792"/>
    <w:rsid w:val="38461F7D"/>
    <w:rsid w:val="3896495C"/>
    <w:rsid w:val="38C569B4"/>
    <w:rsid w:val="39354847"/>
    <w:rsid w:val="397D27F8"/>
    <w:rsid w:val="3A791717"/>
    <w:rsid w:val="3AC64496"/>
    <w:rsid w:val="3B3260B8"/>
    <w:rsid w:val="3B40737E"/>
    <w:rsid w:val="3B4A285E"/>
    <w:rsid w:val="3B6A0811"/>
    <w:rsid w:val="3C15097A"/>
    <w:rsid w:val="3CEE4206"/>
    <w:rsid w:val="3D037AFD"/>
    <w:rsid w:val="3D175959"/>
    <w:rsid w:val="3DFE0CE6"/>
    <w:rsid w:val="3E4D577B"/>
    <w:rsid w:val="3E6D6330"/>
    <w:rsid w:val="3E762C3F"/>
    <w:rsid w:val="3EBE0B9C"/>
    <w:rsid w:val="3EDF2DA4"/>
    <w:rsid w:val="3F201D08"/>
    <w:rsid w:val="3FC03C8B"/>
    <w:rsid w:val="404A6B45"/>
    <w:rsid w:val="40B71F46"/>
    <w:rsid w:val="4114458A"/>
    <w:rsid w:val="41186403"/>
    <w:rsid w:val="41717058"/>
    <w:rsid w:val="418E6E2C"/>
    <w:rsid w:val="41A66BF5"/>
    <w:rsid w:val="425A2C91"/>
    <w:rsid w:val="429638FC"/>
    <w:rsid w:val="42B81904"/>
    <w:rsid w:val="437268B4"/>
    <w:rsid w:val="43CB06C4"/>
    <w:rsid w:val="4457273A"/>
    <w:rsid w:val="446B6F34"/>
    <w:rsid w:val="44B72A7B"/>
    <w:rsid w:val="454767D5"/>
    <w:rsid w:val="455A7E2F"/>
    <w:rsid w:val="457B6A0C"/>
    <w:rsid w:val="461E424B"/>
    <w:rsid w:val="469A484A"/>
    <w:rsid w:val="4746326B"/>
    <w:rsid w:val="4755485A"/>
    <w:rsid w:val="47562D70"/>
    <w:rsid w:val="477F61D9"/>
    <w:rsid w:val="4795047E"/>
    <w:rsid w:val="48092035"/>
    <w:rsid w:val="486B7A89"/>
    <w:rsid w:val="488F23A8"/>
    <w:rsid w:val="48B25461"/>
    <w:rsid w:val="48CC46ED"/>
    <w:rsid w:val="495230BA"/>
    <w:rsid w:val="4A5A01FA"/>
    <w:rsid w:val="4BA17066"/>
    <w:rsid w:val="4BC1093D"/>
    <w:rsid w:val="4BC46F2D"/>
    <w:rsid w:val="4C096460"/>
    <w:rsid w:val="4CA01F19"/>
    <w:rsid w:val="4CD60A61"/>
    <w:rsid w:val="4DF7452D"/>
    <w:rsid w:val="4E0863D2"/>
    <w:rsid w:val="4E920F14"/>
    <w:rsid w:val="4EC608A3"/>
    <w:rsid w:val="4F9071D6"/>
    <w:rsid w:val="506E4616"/>
    <w:rsid w:val="517B4CCE"/>
    <w:rsid w:val="51A65C34"/>
    <w:rsid w:val="52EC1FCD"/>
    <w:rsid w:val="535B3E3D"/>
    <w:rsid w:val="53C1076B"/>
    <w:rsid w:val="53D54A45"/>
    <w:rsid w:val="54195923"/>
    <w:rsid w:val="54267060"/>
    <w:rsid w:val="54801ED7"/>
    <w:rsid w:val="54D54FC5"/>
    <w:rsid w:val="550067E4"/>
    <w:rsid w:val="55014970"/>
    <w:rsid w:val="550D38D4"/>
    <w:rsid w:val="551A272A"/>
    <w:rsid w:val="55A41973"/>
    <w:rsid w:val="568F49A1"/>
    <w:rsid w:val="56E27C69"/>
    <w:rsid w:val="57124114"/>
    <w:rsid w:val="57131414"/>
    <w:rsid w:val="572C030C"/>
    <w:rsid w:val="57583573"/>
    <w:rsid w:val="5778773F"/>
    <w:rsid w:val="59780AC0"/>
    <w:rsid w:val="59D14E73"/>
    <w:rsid w:val="5AB21352"/>
    <w:rsid w:val="5ABC6170"/>
    <w:rsid w:val="5B1D548D"/>
    <w:rsid w:val="5B8F30E6"/>
    <w:rsid w:val="5C0E663E"/>
    <w:rsid w:val="5CBD4577"/>
    <w:rsid w:val="5CE04068"/>
    <w:rsid w:val="5D0145F6"/>
    <w:rsid w:val="5DA53D93"/>
    <w:rsid w:val="5DC24D60"/>
    <w:rsid w:val="5DE568CD"/>
    <w:rsid w:val="5E1E0C3E"/>
    <w:rsid w:val="5E9139C9"/>
    <w:rsid w:val="5F54189D"/>
    <w:rsid w:val="5F7C5829"/>
    <w:rsid w:val="5FA45D30"/>
    <w:rsid w:val="5FFB5998"/>
    <w:rsid w:val="600903EB"/>
    <w:rsid w:val="60574A90"/>
    <w:rsid w:val="609123D2"/>
    <w:rsid w:val="60A12143"/>
    <w:rsid w:val="60D9419E"/>
    <w:rsid w:val="61B82434"/>
    <w:rsid w:val="62321E9E"/>
    <w:rsid w:val="62603535"/>
    <w:rsid w:val="62EF3896"/>
    <w:rsid w:val="632B7D12"/>
    <w:rsid w:val="63530408"/>
    <w:rsid w:val="637757BD"/>
    <w:rsid w:val="63837820"/>
    <w:rsid w:val="64133ED0"/>
    <w:rsid w:val="641C36B4"/>
    <w:rsid w:val="645A795A"/>
    <w:rsid w:val="64D36A1A"/>
    <w:rsid w:val="66544F24"/>
    <w:rsid w:val="669849EE"/>
    <w:rsid w:val="669C1F53"/>
    <w:rsid w:val="676D312E"/>
    <w:rsid w:val="67AD4572"/>
    <w:rsid w:val="67E8746E"/>
    <w:rsid w:val="683F5521"/>
    <w:rsid w:val="68681B91"/>
    <w:rsid w:val="69222246"/>
    <w:rsid w:val="69381C7D"/>
    <w:rsid w:val="69A07586"/>
    <w:rsid w:val="69DE2083"/>
    <w:rsid w:val="6A537C4E"/>
    <w:rsid w:val="6A8B73F7"/>
    <w:rsid w:val="6AC36259"/>
    <w:rsid w:val="6B264152"/>
    <w:rsid w:val="6B2F4F23"/>
    <w:rsid w:val="6BC05DD0"/>
    <w:rsid w:val="6BC1642A"/>
    <w:rsid w:val="6C202133"/>
    <w:rsid w:val="6CB91FDE"/>
    <w:rsid w:val="6DBD1199"/>
    <w:rsid w:val="6E4F0CA7"/>
    <w:rsid w:val="6F593392"/>
    <w:rsid w:val="6F8758F7"/>
    <w:rsid w:val="6F912DCA"/>
    <w:rsid w:val="6FDF32FF"/>
    <w:rsid w:val="70172A30"/>
    <w:rsid w:val="706A4221"/>
    <w:rsid w:val="706E21E9"/>
    <w:rsid w:val="70897202"/>
    <w:rsid w:val="70FE461F"/>
    <w:rsid w:val="728764B8"/>
    <w:rsid w:val="72B50B7E"/>
    <w:rsid w:val="72D35BEF"/>
    <w:rsid w:val="73397CDB"/>
    <w:rsid w:val="73EA63AB"/>
    <w:rsid w:val="743C2BDE"/>
    <w:rsid w:val="747603BD"/>
    <w:rsid w:val="748B2A70"/>
    <w:rsid w:val="74BC4759"/>
    <w:rsid w:val="74D94B34"/>
    <w:rsid w:val="750004E2"/>
    <w:rsid w:val="761E764F"/>
    <w:rsid w:val="762A566E"/>
    <w:rsid w:val="76E934EC"/>
    <w:rsid w:val="77185B7F"/>
    <w:rsid w:val="77CB2BF1"/>
    <w:rsid w:val="78040521"/>
    <w:rsid w:val="780D399C"/>
    <w:rsid w:val="785E1766"/>
    <w:rsid w:val="78835C3C"/>
    <w:rsid w:val="78C22285"/>
    <w:rsid w:val="78CC1AE6"/>
    <w:rsid w:val="79461F58"/>
    <w:rsid w:val="798F3861"/>
    <w:rsid w:val="7AB52AD5"/>
    <w:rsid w:val="7AE364A4"/>
    <w:rsid w:val="7B3C506C"/>
    <w:rsid w:val="7C4703DE"/>
    <w:rsid w:val="7CEE13F4"/>
    <w:rsid w:val="7D6D276F"/>
    <w:rsid w:val="7DAF45F0"/>
    <w:rsid w:val="7DBE7CF6"/>
    <w:rsid w:val="7E0B2935"/>
    <w:rsid w:val="7E1616F0"/>
    <w:rsid w:val="7E413C0D"/>
    <w:rsid w:val="7FCD4775"/>
    <w:rsid w:val="7FDE6288"/>
    <w:rsid w:val="7FEF1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numPr>
        <w:ilvl w:val="1"/>
        <w:numId w:val="1"/>
      </w:numPr>
      <w:spacing w:before="260" w:after="260" w:line="412"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1"/>
    <w:qFormat/>
    <w:uiPriority w:val="0"/>
    <w:pPr>
      <w:spacing w:line="200" w:lineRule="exact"/>
      <w:ind w:firstLine="301"/>
    </w:pPr>
    <w:rPr>
      <w:rFonts w:ascii="宋体" w:hAnsi="Courier New"/>
      <w:spacing w:val="-4"/>
      <w:sz w:val="18"/>
      <w:szCs w:val="20"/>
    </w:rPr>
  </w:style>
  <w:style w:type="paragraph" w:styleId="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4"/>
    <w:unhideWhenUsed/>
    <w:qFormat/>
    <w:uiPriority w:val="0"/>
    <w:pPr>
      <w:tabs>
        <w:tab w:val="left" w:pos="1680"/>
      </w:tabs>
      <w:spacing w:after="120" w:line="360" w:lineRule="auto"/>
      <w:ind w:left="420" w:leftChars="200" w:firstLine="420" w:firstLineChars="200"/>
    </w:pPr>
    <w:rPr>
      <w:rFonts w:ascii="Calibri" w:hAnsi="Calibri"/>
      <w:sz w:val="21"/>
      <w:szCs w:val="22"/>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rPr>
  </w:style>
  <w:style w:type="character" w:styleId="11">
    <w:name w:val="Emphasis"/>
    <w:basedOn w:val="9"/>
    <w:autoRedefine/>
    <w:qFormat/>
    <w:uiPriority w:val="20"/>
    <w:rPr>
      <w:i/>
    </w:rPr>
  </w:style>
  <w:style w:type="character" w:styleId="12">
    <w:name w:val="Hyperlink"/>
    <w:basedOn w:val="9"/>
    <w:autoRedefine/>
    <w:semiHidden/>
    <w:unhideWhenUsed/>
    <w:qFormat/>
    <w:uiPriority w:val="99"/>
    <w:rPr>
      <w:color w:val="0000FF"/>
      <w:u w:val="single"/>
    </w:rPr>
  </w:style>
  <w:style w:type="paragraph" w:customStyle="1" w:styleId="13">
    <w:name w:val="列出段落1"/>
    <w:basedOn w:val="1"/>
    <w:autoRedefine/>
    <w:qFormat/>
    <w:uiPriority w:val="34"/>
    <w:pPr>
      <w:ind w:firstLine="420" w:firstLineChars="200"/>
    </w:pPr>
    <w:rPr>
      <w:szCs w:val="22"/>
    </w:rPr>
  </w:style>
  <w:style w:type="character" w:customStyle="1" w:styleId="14">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1220</Words>
  <Characters>1384</Characters>
  <Lines>1</Lines>
  <Paragraphs>1</Paragraphs>
  <TotalTime>0</TotalTime>
  <ScaleCrop>false</ScaleCrop>
  <LinksUpToDate>false</LinksUpToDate>
  <CharactersWithSpaces>1391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2021-08-25T01:13:00Z</dcterms:created>
  <dc:creator>China</dc:creator>
  <cp:lastModifiedBy>摄影小卒</cp:lastModifiedBy>
  <cp:lastPrinted>2024-11-27T05:38:00Z</cp:lastPrinted>
  <dcterms:modified xsi:type="dcterms:W3CDTF">2025-04-18T05:41:43Z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177D1DE970D549BABEE785460E8969BD</vt:lpwstr>
  </property>
  <property fmtid="{D5CDD505-2E9C-101B-9397-08002B2CF9AE}" pid="4" name="KSOTemplateDocerSaveRecord">
    <vt:lpwstr>eyJoZGlkIjoiYmYxMzE3MWNlYWJjODUzN2JjYzFlOWI5ZGU2ZjJlMzYiLCJ1c2VySWQiOiIzMDI0NDQ1MTIifQ==</vt:lpwstr>
  </property>
</Properties>
</file>