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宋体"/>
          <w:b/>
          <w:bCs/>
          <w:sz w:val="32"/>
          <w:szCs w:val="32"/>
        </w:rPr>
      </w:pPr>
      <w:bookmarkStart w:id="0" w:name="_Toc25988"/>
      <w:bookmarkStart w:id="1" w:name="_Toc35393790"/>
      <w:bookmarkStart w:id="2" w:name="_Toc35393621"/>
      <w:bookmarkStart w:id="3" w:name="_Toc28359079"/>
      <w:bookmarkStart w:id="4" w:name="_Toc28359002"/>
      <w:bookmarkStart w:id="5" w:name="_Hlk24379207"/>
      <w:r>
        <w:rPr>
          <w:rFonts w:hint="eastAsia"/>
          <w:b/>
          <w:bCs/>
          <w:sz w:val="32"/>
          <w:szCs w:val="32"/>
          <w:lang w:val="en-US" w:eastAsia="zh-CN"/>
        </w:rPr>
        <w:t>瑞安市妇幼保健院单过硫酸氢钾消毒粉项目采购需求</w:t>
      </w:r>
    </w:p>
    <w:p>
      <w:pPr>
        <w:pStyle w:val="3"/>
        <w:spacing w:before="120" w:beforeLines="50" w:after="0" w:line="360" w:lineRule="auto"/>
        <w:jc w:val="center"/>
        <w:rPr>
          <w:rFonts w:ascii="Times New Roman" w:hAnsi="Times New Roman" w:eastAsia="宋体"/>
          <w:b/>
          <w:bCs w:val="0"/>
          <w:sz w:val="28"/>
          <w:szCs w:val="28"/>
        </w:rPr>
      </w:pPr>
      <w:r>
        <w:rPr>
          <w:rFonts w:ascii="Times New Roman" w:hAnsi="Times New Roman" w:eastAsia="宋体"/>
          <w:b/>
          <w:bCs w:val="0"/>
          <w:sz w:val="28"/>
          <w:szCs w:val="28"/>
        </w:rPr>
        <w:t>项目基本情况</w:t>
      </w:r>
      <w:bookmarkEnd w:id="0"/>
      <w:bookmarkEnd w:id="1"/>
      <w:bookmarkEnd w:id="2"/>
      <w:bookmarkEnd w:id="3"/>
      <w:bookmarkEnd w:id="4"/>
    </w:p>
    <w:p>
      <w:pPr>
        <w:spacing w:line="360" w:lineRule="auto"/>
        <w:ind w:firstLine="440" w:firstLineChars="200"/>
        <w:rPr>
          <w:rFonts w:hint="eastAsia" w:eastAsia="宋体"/>
          <w:sz w:val="22"/>
          <w:szCs w:val="22"/>
          <w:lang w:eastAsia="zh-CN"/>
        </w:rPr>
      </w:pPr>
      <w:r>
        <w:rPr>
          <w:sz w:val="22"/>
          <w:szCs w:val="22"/>
        </w:rPr>
        <w:t>项目名称：</w:t>
      </w:r>
      <w:r>
        <w:rPr>
          <w:rFonts w:hint="eastAsia"/>
          <w:sz w:val="22"/>
          <w:szCs w:val="22"/>
          <w:lang w:val="en-US" w:eastAsia="zh-CN"/>
        </w:rPr>
        <w:t>瑞安市妇幼保健院</w:t>
      </w:r>
      <w:r>
        <w:rPr>
          <w:rFonts w:hint="eastAsia"/>
          <w:sz w:val="22"/>
          <w:szCs w:val="22"/>
          <w:lang w:eastAsia="zh-CN"/>
        </w:rPr>
        <w:t>单过硫酸氢钾消毒粉</w:t>
      </w:r>
    </w:p>
    <w:p>
      <w:pPr>
        <w:spacing w:line="360" w:lineRule="auto"/>
        <w:ind w:firstLine="440" w:firstLineChars="200"/>
        <w:rPr>
          <w:rFonts w:hint="default" w:eastAsiaTheme="minorEastAsia"/>
          <w:sz w:val="22"/>
          <w:szCs w:val="22"/>
          <w:lang w:val="en-US" w:eastAsia="zh-CN"/>
        </w:rPr>
      </w:pPr>
      <w:r>
        <w:rPr>
          <w:sz w:val="22"/>
          <w:szCs w:val="22"/>
        </w:rPr>
        <w:t>采购方式：</w:t>
      </w:r>
      <w:r>
        <w:rPr>
          <w:rFonts w:hint="eastAsia"/>
          <w:sz w:val="22"/>
          <w:szCs w:val="22"/>
          <w:lang w:val="en-US" w:eastAsia="zh-CN"/>
        </w:rPr>
        <w:t>院内谈判</w:t>
      </w:r>
    </w:p>
    <w:bookmarkEnd w:id="5"/>
    <w:p>
      <w:pPr>
        <w:spacing w:line="360" w:lineRule="auto"/>
        <w:ind w:firstLine="440" w:firstLineChars="200"/>
        <w:rPr>
          <w:rFonts w:hint="default" w:eastAsiaTheme="minorEastAsia"/>
          <w:sz w:val="22"/>
          <w:szCs w:val="22"/>
          <w:lang w:val="en-US" w:eastAsia="zh-CN"/>
        </w:rPr>
      </w:pPr>
      <w:r>
        <w:rPr>
          <w:sz w:val="22"/>
          <w:szCs w:val="22"/>
        </w:rPr>
        <w:t>预算金额（元）：</w:t>
      </w:r>
      <w:r>
        <w:rPr>
          <w:rFonts w:hint="eastAsia"/>
          <w:sz w:val="22"/>
          <w:szCs w:val="22"/>
          <w:lang w:val="en-US" w:eastAsia="zh-CN"/>
        </w:rPr>
        <w:t>100,000.00</w:t>
      </w:r>
    </w:p>
    <w:p>
      <w:pPr>
        <w:spacing w:line="360" w:lineRule="auto"/>
        <w:ind w:firstLine="440" w:firstLineChars="200"/>
        <w:rPr>
          <w:sz w:val="22"/>
          <w:szCs w:val="22"/>
        </w:rPr>
      </w:pPr>
      <w:r>
        <w:rPr>
          <w:sz w:val="22"/>
          <w:szCs w:val="22"/>
        </w:rPr>
        <w:t>简要规格描述或项目基本概况介绍、用途：</w:t>
      </w:r>
      <w:r>
        <w:rPr>
          <w:rFonts w:hint="eastAsia"/>
          <w:sz w:val="22"/>
          <w:szCs w:val="22"/>
        </w:rPr>
        <w:t>主要成分：单过硫酸氢钾复合盐，含量最低不得低于19%</w:t>
      </w:r>
      <w:r>
        <w:rPr>
          <w:rFonts w:hint="eastAsia" w:hAnsi="宋体"/>
          <w:sz w:val="22"/>
          <w:szCs w:val="22"/>
        </w:rPr>
        <w:t>。</w:t>
      </w:r>
    </w:p>
    <w:p>
      <w:pPr>
        <w:spacing w:line="360" w:lineRule="auto"/>
        <w:ind w:firstLine="440" w:firstLineChars="200"/>
        <w:rPr>
          <w:rFonts w:hint="eastAsia"/>
          <w:sz w:val="22"/>
          <w:szCs w:val="22"/>
          <w:lang w:eastAsia="zh-CN"/>
        </w:rPr>
      </w:pPr>
      <w:r>
        <w:rPr>
          <w:sz w:val="22"/>
          <w:szCs w:val="22"/>
        </w:rPr>
        <w:t>备注：不允许进口</w:t>
      </w:r>
      <w:bookmarkStart w:id="6" w:name="_Toc35393622"/>
      <w:bookmarkStart w:id="7" w:name="_Toc31500"/>
      <w:bookmarkStart w:id="8" w:name="_Toc28359080"/>
      <w:bookmarkStart w:id="9" w:name="_Toc35393791"/>
      <w:bookmarkStart w:id="10" w:name="_Toc28359003"/>
      <w:r>
        <w:rPr>
          <w:rFonts w:hint="eastAsia"/>
          <w:sz w:val="22"/>
          <w:szCs w:val="22"/>
          <w:lang w:eastAsia="zh-CN"/>
        </w:rPr>
        <w:t>。</w:t>
      </w:r>
    </w:p>
    <w:p>
      <w:pPr>
        <w:spacing w:line="360" w:lineRule="auto"/>
        <w:jc w:val="center"/>
        <w:rPr>
          <w:rFonts w:ascii="Times New Roman" w:hAnsi="Times New Roman" w:eastAsia="宋体"/>
          <w:b/>
          <w:bCs w:val="0"/>
          <w:sz w:val="28"/>
          <w:szCs w:val="28"/>
        </w:rPr>
      </w:pPr>
      <w:r>
        <w:rPr>
          <w:rFonts w:ascii="Times New Roman" w:hAnsi="Times New Roman" w:eastAsia="宋体"/>
          <w:b/>
          <w:bCs w:val="0"/>
          <w:sz w:val="28"/>
          <w:szCs w:val="28"/>
        </w:rPr>
        <w:t>申请人的资格要求</w:t>
      </w:r>
      <w:bookmarkEnd w:id="6"/>
      <w:bookmarkEnd w:id="7"/>
      <w:bookmarkEnd w:id="8"/>
      <w:bookmarkEnd w:id="9"/>
      <w:bookmarkEnd w:id="10"/>
    </w:p>
    <w:p>
      <w:pPr>
        <w:spacing w:line="360" w:lineRule="auto"/>
        <w:ind w:firstLine="480" w:firstLineChars="200"/>
        <w:rPr>
          <w:sz w:val="24"/>
        </w:rPr>
      </w:pPr>
      <w:r>
        <w:rPr>
          <w:sz w:val="24"/>
        </w:rPr>
        <w:t>1.</w:t>
      </w:r>
      <w:r>
        <w:t xml:space="preserve"> </w:t>
      </w:r>
      <w:r>
        <w:rPr>
          <w:sz w:val="24"/>
        </w:rPr>
        <w:t>满足《中华人民共和国政府采购法》第二十二条规定；未被“信用中国”（www.creditchina.gov.cn）、中国政府采购网（www.ccgp.gov.cn）列入失信被执行人、重大税收违法案件当事人名单、政府采购严重违法失信行为记录名单。</w:t>
      </w:r>
    </w:p>
    <w:p>
      <w:pPr>
        <w:spacing w:line="360" w:lineRule="auto"/>
        <w:ind w:firstLine="480" w:firstLineChars="200"/>
        <w:rPr>
          <w:rFonts w:hint="eastAsia" w:eastAsia="宋体"/>
          <w:sz w:val="24"/>
          <w:lang w:eastAsia="zh-CN"/>
        </w:rPr>
      </w:pPr>
      <w:r>
        <w:rPr>
          <w:sz w:val="24"/>
        </w:rPr>
        <w:t>2.</w:t>
      </w:r>
      <w:r>
        <w:rPr>
          <w:b/>
          <w:spacing w:val="-4"/>
          <w:sz w:val="24"/>
          <w:szCs w:val="20"/>
        </w:rPr>
        <w:t>本项目专门面向中小企业采购，货物制造商应为中小微企业或监狱企业或残疾人福利性单位</w:t>
      </w:r>
      <w:r>
        <w:rPr>
          <w:spacing w:val="-4"/>
          <w:sz w:val="24"/>
          <w:szCs w:val="20"/>
        </w:rPr>
        <w:t>。</w:t>
      </w:r>
    </w:p>
    <w:p>
      <w:pPr>
        <w:pStyle w:val="2"/>
        <w:rPr>
          <w:rFonts w:hint="default" w:ascii="Times New Roman" w:hAnsi="Times New Roman" w:eastAsia="宋体" w:cs="Times New Roman"/>
          <w:sz w:val="24"/>
          <w:highlight w:val="yellow"/>
        </w:rPr>
      </w:pPr>
    </w:p>
    <w:p>
      <w:pPr>
        <w:snapToGrid w:val="0"/>
        <w:spacing w:line="360" w:lineRule="auto"/>
        <w:jc w:val="center"/>
        <w:outlineLvl w:val="0"/>
        <w:rPr>
          <w:b/>
          <w:sz w:val="28"/>
          <w:szCs w:val="22"/>
        </w:rPr>
      </w:pPr>
    </w:p>
    <w:p>
      <w:pPr>
        <w:snapToGrid w:val="0"/>
        <w:spacing w:line="360" w:lineRule="auto"/>
        <w:jc w:val="center"/>
        <w:outlineLvl w:val="0"/>
        <w:rPr>
          <w:sz w:val="28"/>
          <w:szCs w:val="28"/>
        </w:rPr>
      </w:pPr>
      <w:r>
        <w:rPr>
          <w:b/>
          <w:sz w:val="28"/>
          <w:szCs w:val="22"/>
        </w:rPr>
        <w:t>招标内容及需求</w:t>
      </w:r>
    </w:p>
    <w:p>
      <w:pPr>
        <w:keepNext/>
        <w:keepLines/>
        <w:pageBreakBefore w:val="0"/>
        <w:widowControl w:val="0"/>
        <w:kinsoku/>
        <w:wordWrap/>
        <w:overflowPunct/>
        <w:topLinePunct w:val="0"/>
        <w:bidi w:val="0"/>
        <w:snapToGrid w:val="0"/>
        <w:spacing w:line="360" w:lineRule="auto"/>
        <w:ind w:firstLine="422" w:firstLineChars="200"/>
        <w:jc w:val="both"/>
        <w:outlineLvl w:val="9"/>
        <w:rPr>
          <w:rFonts w:ascii="Times New Roman" w:hAnsi="Times New Roman" w:eastAsia="宋体" w:cs="Times New Roman"/>
          <w:b/>
          <w:bCs/>
          <w:kern w:val="2"/>
          <w:sz w:val="21"/>
          <w:szCs w:val="32"/>
          <w:highlight w:val="none"/>
          <w:lang w:val="en-US" w:eastAsia="zh-CN" w:bidi="ar-SA"/>
        </w:rPr>
      </w:pPr>
      <w:bookmarkStart w:id="11" w:name="_bookmark24"/>
      <w:bookmarkEnd w:id="11"/>
      <w:r>
        <w:rPr>
          <w:rFonts w:ascii="Times New Roman" w:hAnsi="宋体" w:eastAsia="宋体" w:cs="Times New Roman"/>
          <w:b/>
          <w:bCs/>
          <w:kern w:val="2"/>
          <w:sz w:val="21"/>
          <w:szCs w:val="32"/>
          <w:highlight w:val="none"/>
          <w:lang w:val="en-US" w:eastAsia="zh-CN" w:bidi="ar-SA"/>
        </w:rPr>
        <w:t>一、采购内容一览表</w:t>
      </w:r>
    </w:p>
    <w:tbl>
      <w:tblPr>
        <w:tblStyle w:val="4"/>
        <w:tblW w:w="9010"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
        <w:gridCol w:w="1741"/>
        <w:gridCol w:w="1350"/>
        <w:gridCol w:w="1074"/>
        <w:gridCol w:w="1158"/>
        <w:gridCol w:w="1385"/>
        <w:gridCol w:w="1565"/>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07" w:hRule="atLeast"/>
          <w:jc w:val="center"/>
        </w:trPr>
        <w:tc>
          <w:tcPr>
            <w:tcW w:w="737" w:type="dxa"/>
            <w:noWrap w:val="0"/>
            <w:vAlign w:val="center"/>
          </w:tcPr>
          <w:p>
            <w:pPr>
              <w:pageBreakBefore w:val="0"/>
              <w:kinsoku/>
              <w:wordWrap/>
              <w:overflowPunct/>
              <w:topLinePunct w:val="0"/>
              <w:bidi w:val="0"/>
              <w:jc w:val="center"/>
              <w:outlineLvl w:val="9"/>
              <w:rPr>
                <w:rFonts w:ascii="Times New Roman" w:hAnsi="Times New Roman" w:eastAsia="宋体" w:cs="Times New Roman"/>
                <w:caps/>
                <w:color w:val="auto"/>
                <w:highlight w:val="none"/>
              </w:rPr>
            </w:pPr>
            <w:r>
              <w:rPr>
                <w:rFonts w:ascii="Times New Roman" w:hAnsi="宋体" w:eastAsia="宋体" w:cs="Times New Roman"/>
                <w:caps/>
                <w:color w:val="auto"/>
                <w:highlight w:val="none"/>
              </w:rPr>
              <w:t>序号</w:t>
            </w:r>
          </w:p>
        </w:tc>
        <w:tc>
          <w:tcPr>
            <w:tcW w:w="1741" w:type="dxa"/>
            <w:tcBorders>
              <w:right w:val="single" w:color="auto" w:sz="4" w:space="0"/>
            </w:tcBorders>
            <w:noWrap w:val="0"/>
            <w:vAlign w:val="center"/>
          </w:tcPr>
          <w:p>
            <w:pPr>
              <w:pageBreakBefore w:val="0"/>
              <w:kinsoku/>
              <w:wordWrap/>
              <w:overflowPunct/>
              <w:topLinePunct w:val="0"/>
              <w:bidi w:val="0"/>
              <w:jc w:val="center"/>
              <w:outlineLvl w:val="9"/>
              <w:rPr>
                <w:rFonts w:ascii="Times New Roman" w:hAnsi="Times New Roman" w:eastAsia="宋体" w:cs="Times New Roman"/>
                <w:caps/>
                <w:color w:val="auto"/>
                <w:highlight w:val="none"/>
              </w:rPr>
            </w:pPr>
            <w:r>
              <w:rPr>
                <w:rFonts w:hint="eastAsia" w:ascii="Times New Roman" w:hAnsi="宋体" w:eastAsia="宋体" w:cs="Times New Roman"/>
                <w:caps/>
                <w:color w:val="auto"/>
                <w:highlight w:val="none"/>
              </w:rPr>
              <w:t>货物</w:t>
            </w:r>
            <w:r>
              <w:rPr>
                <w:rFonts w:ascii="Times New Roman" w:hAnsi="宋体" w:eastAsia="宋体" w:cs="Times New Roman"/>
                <w:caps/>
                <w:color w:val="auto"/>
                <w:highlight w:val="none"/>
              </w:rPr>
              <w:t>名称</w:t>
            </w:r>
          </w:p>
        </w:tc>
        <w:tc>
          <w:tcPr>
            <w:tcW w:w="1350" w:type="dxa"/>
            <w:tcBorders>
              <w:left w:val="single" w:color="auto" w:sz="4" w:space="0"/>
            </w:tcBorders>
            <w:noWrap w:val="0"/>
            <w:vAlign w:val="center"/>
          </w:tcPr>
          <w:p>
            <w:pPr>
              <w:pageBreakBefore w:val="0"/>
              <w:kinsoku/>
              <w:wordWrap/>
              <w:overflowPunct/>
              <w:topLinePunct w:val="0"/>
              <w:bidi w:val="0"/>
              <w:jc w:val="center"/>
              <w:outlineLvl w:val="9"/>
              <w:rPr>
                <w:rFonts w:hint="eastAsia" w:ascii="Times New Roman" w:hAnsi="宋体" w:eastAsia="宋体" w:cs="Times New Roman"/>
                <w:caps/>
                <w:color w:val="auto"/>
                <w:highlight w:val="none"/>
              </w:rPr>
            </w:pPr>
            <w:r>
              <w:rPr>
                <w:rFonts w:hint="eastAsia" w:ascii="Times New Roman" w:hAnsi="宋体" w:eastAsia="宋体" w:cs="Times New Roman"/>
                <w:caps/>
                <w:color w:val="auto"/>
                <w:highlight w:val="none"/>
              </w:rPr>
              <w:t>单位</w:t>
            </w:r>
          </w:p>
        </w:tc>
        <w:tc>
          <w:tcPr>
            <w:tcW w:w="1074" w:type="dxa"/>
            <w:noWrap w:val="0"/>
            <w:vAlign w:val="center"/>
          </w:tcPr>
          <w:p>
            <w:pPr>
              <w:pageBreakBefore w:val="0"/>
              <w:kinsoku/>
              <w:wordWrap/>
              <w:overflowPunct/>
              <w:topLinePunct w:val="0"/>
              <w:bidi w:val="0"/>
              <w:jc w:val="center"/>
              <w:outlineLvl w:val="9"/>
              <w:rPr>
                <w:rFonts w:ascii="Times New Roman" w:hAnsi="Times New Roman" w:eastAsia="宋体" w:cs="Times New Roman"/>
                <w:caps/>
                <w:color w:val="auto"/>
                <w:highlight w:val="none"/>
              </w:rPr>
            </w:pPr>
            <w:r>
              <w:rPr>
                <w:rFonts w:hint="eastAsia" w:ascii="Times New Roman" w:hAnsi="宋体" w:eastAsia="宋体" w:cs="Times New Roman"/>
                <w:caps/>
                <w:color w:val="auto"/>
                <w:highlight w:val="none"/>
              </w:rPr>
              <w:t>预估</w:t>
            </w:r>
            <w:r>
              <w:rPr>
                <w:rFonts w:ascii="Times New Roman" w:hAnsi="宋体" w:eastAsia="宋体" w:cs="Times New Roman"/>
                <w:caps/>
                <w:color w:val="auto"/>
                <w:highlight w:val="none"/>
              </w:rPr>
              <w:t>数量</w:t>
            </w:r>
          </w:p>
        </w:tc>
        <w:tc>
          <w:tcPr>
            <w:tcW w:w="1158" w:type="dxa"/>
            <w:noWrap w:val="0"/>
            <w:vAlign w:val="center"/>
          </w:tcPr>
          <w:p>
            <w:pPr>
              <w:pageBreakBefore w:val="0"/>
              <w:kinsoku/>
              <w:wordWrap/>
              <w:overflowPunct/>
              <w:topLinePunct w:val="0"/>
              <w:bidi w:val="0"/>
              <w:jc w:val="center"/>
              <w:outlineLvl w:val="9"/>
              <w:rPr>
                <w:rFonts w:hint="default" w:ascii="Times New Roman" w:hAnsi="宋体" w:eastAsia="宋体" w:cs="Times New Roman"/>
                <w:caps/>
                <w:color w:val="auto"/>
                <w:highlight w:val="none"/>
                <w:lang w:val="en-US" w:eastAsia="zh-CN"/>
              </w:rPr>
            </w:pPr>
            <w:r>
              <w:rPr>
                <w:rFonts w:hint="eastAsia" w:ascii="Times New Roman" w:hAnsi="宋体" w:eastAsia="宋体" w:cs="宋体"/>
                <w:color w:val="auto"/>
                <w:highlight w:val="none"/>
                <w:lang w:val="en-US" w:eastAsia="zh-CN"/>
              </w:rPr>
              <w:t>预算单价（元/瓶）</w:t>
            </w:r>
          </w:p>
        </w:tc>
        <w:tc>
          <w:tcPr>
            <w:tcW w:w="1385" w:type="dxa"/>
            <w:noWrap w:val="0"/>
            <w:vAlign w:val="center"/>
          </w:tcPr>
          <w:p>
            <w:pPr>
              <w:pageBreakBefore w:val="0"/>
              <w:kinsoku/>
              <w:wordWrap/>
              <w:overflowPunct/>
              <w:topLinePunct w:val="0"/>
              <w:bidi w:val="0"/>
              <w:jc w:val="center"/>
              <w:outlineLvl w:val="9"/>
              <w:rPr>
                <w:rFonts w:ascii="Times New Roman" w:hAnsi="Times New Roman" w:eastAsia="宋体" w:cs="Times New Roman"/>
                <w:caps/>
                <w:color w:val="auto"/>
                <w:highlight w:val="none"/>
              </w:rPr>
            </w:pPr>
            <w:r>
              <w:rPr>
                <w:rFonts w:ascii="Times New Roman" w:hAnsi="宋体" w:eastAsia="宋体" w:cs="Times New Roman"/>
                <w:caps/>
                <w:color w:val="auto"/>
                <w:highlight w:val="none"/>
              </w:rPr>
              <w:t>交货期</w:t>
            </w:r>
          </w:p>
        </w:tc>
        <w:tc>
          <w:tcPr>
            <w:tcW w:w="1565" w:type="dxa"/>
            <w:noWrap w:val="0"/>
            <w:vAlign w:val="center"/>
          </w:tcPr>
          <w:p>
            <w:pPr>
              <w:pageBreakBefore w:val="0"/>
              <w:kinsoku/>
              <w:wordWrap/>
              <w:overflowPunct/>
              <w:topLinePunct w:val="0"/>
              <w:bidi w:val="0"/>
              <w:jc w:val="center"/>
              <w:outlineLvl w:val="9"/>
              <w:rPr>
                <w:rFonts w:ascii="Times New Roman" w:hAnsi="Times New Roman" w:eastAsia="宋体" w:cs="Times New Roman"/>
                <w:caps/>
                <w:color w:val="auto"/>
                <w:highlight w:val="none"/>
              </w:rPr>
            </w:pPr>
            <w:r>
              <w:rPr>
                <w:rFonts w:ascii="Times New Roman" w:hAnsi="宋体" w:eastAsia="宋体" w:cs="Times New Roman"/>
                <w:caps/>
                <w:color w:val="auto"/>
                <w:highlight w:val="none"/>
              </w:rPr>
              <w:t>目的地</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45" w:hRule="atLeast"/>
          <w:jc w:val="center"/>
        </w:trPr>
        <w:tc>
          <w:tcPr>
            <w:tcW w:w="737" w:type="dxa"/>
            <w:noWrap w:val="0"/>
            <w:vAlign w:val="center"/>
          </w:tcPr>
          <w:p>
            <w:pPr>
              <w:pageBreakBefore w:val="0"/>
              <w:kinsoku/>
              <w:wordWrap/>
              <w:overflowPunct/>
              <w:topLinePunct w:val="0"/>
              <w:bidi w:val="0"/>
              <w:jc w:val="center"/>
              <w:outlineLvl w:val="9"/>
              <w:rPr>
                <w:rFonts w:ascii="Times New Roman" w:hAnsi="Times New Roman" w:eastAsia="宋体" w:cs="Times New Roman"/>
                <w:caps/>
                <w:color w:val="auto"/>
                <w:highlight w:val="none"/>
              </w:rPr>
            </w:pPr>
            <w:r>
              <w:rPr>
                <w:rFonts w:ascii="Times New Roman" w:hAnsi="Times New Roman" w:eastAsia="宋体" w:cs="Times New Roman"/>
                <w:caps/>
                <w:color w:val="auto"/>
                <w:highlight w:val="none"/>
              </w:rPr>
              <w:t>1</w:t>
            </w:r>
          </w:p>
        </w:tc>
        <w:tc>
          <w:tcPr>
            <w:tcW w:w="1741" w:type="dxa"/>
            <w:tcBorders>
              <w:right w:val="single" w:color="auto" w:sz="4" w:space="0"/>
            </w:tcBorders>
            <w:noWrap w:val="0"/>
            <w:vAlign w:val="center"/>
          </w:tcPr>
          <w:p>
            <w:pPr>
              <w:pageBreakBefore w:val="0"/>
              <w:kinsoku/>
              <w:wordWrap/>
              <w:overflowPunct/>
              <w:topLinePunct w:val="0"/>
              <w:bidi w:val="0"/>
              <w:outlineLvl w:val="9"/>
              <w:rPr>
                <w:rFonts w:hint="eastAsia" w:ascii="Times New Roman" w:hAnsi="Times New Roman" w:eastAsia="宋体" w:cs="Times New Roman"/>
                <w:color w:val="auto"/>
                <w:highlight w:val="none"/>
              </w:rPr>
            </w:pPr>
            <w:r>
              <w:rPr>
                <w:rFonts w:hint="eastAsia" w:ascii="宋体" w:hAnsi="宋体" w:eastAsia="宋体" w:cs="Times New Roman"/>
                <w:color w:val="auto"/>
                <w:szCs w:val="21"/>
                <w:highlight w:val="none"/>
              </w:rPr>
              <w:t>单过硫酸氢钾消毒粉</w:t>
            </w:r>
          </w:p>
        </w:tc>
        <w:tc>
          <w:tcPr>
            <w:tcW w:w="1350" w:type="dxa"/>
            <w:tcBorders>
              <w:left w:val="single" w:color="auto" w:sz="4" w:space="0"/>
            </w:tcBorders>
            <w:noWrap w:val="0"/>
            <w:vAlign w:val="center"/>
          </w:tcPr>
          <w:p>
            <w:pPr>
              <w:pageBreakBefore w:val="0"/>
              <w:kinsoku/>
              <w:wordWrap/>
              <w:overflowPunct/>
              <w:topLinePunct w:val="0"/>
              <w:bidi w:val="0"/>
              <w:jc w:val="center"/>
              <w:outlineLvl w:val="9"/>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瓶</w:t>
            </w:r>
            <w:r>
              <w:rPr>
                <w:rFonts w:hint="eastAsia" w:ascii="宋体" w:hAnsi="宋体" w:eastAsia="宋体" w:cs="宋体"/>
                <w:color w:val="auto"/>
                <w:szCs w:val="21"/>
                <w:highlight w:val="none"/>
              </w:rPr>
              <w:t>（1kg/瓶）</w:t>
            </w:r>
          </w:p>
        </w:tc>
        <w:tc>
          <w:tcPr>
            <w:tcW w:w="1074" w:type="dxa"/>
            <w:noWrap w:val="0"/>
            <w:vAlign w:val="center"/>
          </w:tcPr>
          <w:p>
            <w:pPr>
              <w:pageBreakBefore w:val="0"/>
              <w:kinsoku/>
              <w:wordWrap/>
              <w:overflowPunct/>
              <w:topLinePunct w:val="0"/>
              <w:bidi w:val="0"/>
              <w:jc w:val="center"/>
              <w:outlineLvl w:val="9"/>
              <w:rPr>
                <w:rFonts w:hint="default" w:ascii="Times New Roman" w:hAnsi="Times New Roman" w:eastAsia="宋体" w:cs="Times New Roman"/>
                <w:color w:val="auto"/>
                <w:szCs w:val="21"/>
                <w:highlight w:val="none"/>
                <w:lang w:val="en-US"/>
              </w:rPr>
            </w:pPr>
            <w:r>
              <w:rPr>
                <w:rFonts w:hint="eastAsia" w:ascii="Times New Roman" w:hAnsi="宋体" w:eastAsia="宋体" w:cs="宋体"/>
                <w:color w:val="auto"/>
                <w:highlight w:val="none"/>
                <w:lang w:val="en-US" w:eastAsia="zh-CN"/>
              </w:rPr>
              <w:t>1000</w:t>
            </w:r>
          </w:p>
        </w:tc>
        <w:tc>
          <w:tcPr>
            <w:tcW w:w="1158" w:type="dxa"/>
            <w:noWrap w:val="0"/>
            <w:vAlign w:val="center"/>
          </w:tcPr>
          <w:p>
            <w:pPr>
              <w:pageBreakBefore w:val="0"/>
              <w:kinsoku/>
              <w:wordWrap/>
              <w:overflowPunct/>
              <w:topLinePunct w:val="0"/>
              <w:bidi w:val="0"/>
              <w:jc w:val="center"/>
              <w:outlineLvl w:val="9"/>
              <w:rPr>
                <w:rFonts w:hint="default" w:ascii="Times New Roman" w:hAnsi="宋体" w:eastAsia="宋体" w:cs="宋体"/>
                <w:color w:val="auto"/>
                <w:highlight w:val="none"/>
                <w:lang w:val="en-US" w:eastAsia="zh-CN"/>
              </w:rPr>
            </w:pPr>
            <w:r>
              <w:rPr>
                <w:rFonts w:hint="eastAsia" w:ascii="Times New Roman" w:hAnsi="宋体" w:eastAsia="宋体" w:cs="宋体"/>
                <w:color w:val="auto"/>
                <w:highlight w:val="none"/>
                <w:lang w:val="en-US" w:eastAsia="zh-CN"/>
              </w:rPr>
              <w:t>100</w:t>
            </w:r>
          </w:p>
        </w:tc>
        <w:tc>
          <w:tcPr>
            <w:tcW w:w="1385" w:type="dxa"/>
            <w:noWrap w:val="0"/>
            <w:vAlign w:val="center"/>
          </w:tcPr>
          <w:p>
            <w:pPr>
              <w:pageBreakBefore w:val="0"/>
              <w:kinsoku/>
              <w:wordWrap/>
              <w:overflowPunct/>
              <w:topLinePunct w:val="0"/>
              <w:bidi w:val="0"/>
              <w:jc w:val="center"/>
              <w:outlineLvl w:val="9"/>
              <w:rPr>
                <w:rFonts w:ascii="Times New Roman" w:hAnsi="宋体" w:eastAsia="宋体" w:cs="Times New Roman"/>
                <w:color w:val="auto"/>
                <w:szCs w:val="21"/>
                <w:highlight w:val="none"/>
              </w:rPr>
            </w:pPr>
            <w:r>
              <w:rPr>
                <w:rFonts w:hint="eastAsia" w:ascii="宋体" w:hAnsi="宋体" w:eastAsia="宋体" w:cs="宋体"/>
                <w:color w:val="auto"/>
                <w:szCs w:val="21"/>
                <w:highlight w:val="none"/>
              </w:rPr>
              <w:t>接到供货通知后3个工作日内保质保量完成产品的供货</w:t>
            </w:r>
          </w:p>
        </w:tc>
        <w:tc>
          <w:tcPr>
            <w:tcW w:w="1565" w:type="dxa"/>
            <w:noWrap w:val="0"/>
            <w:vAlign w:val="center"/>
          </w:tcPr>
          <w:p>
            <w:pPr>
              <w:pageBreakBefore w:val="0"/>
              <w:kinsoku/>
              <w:wordWrap/>
              <w:overflowPunct/>
              <w:topLinePunct w:val="0"/>
              <w:bidi w:val="0"/>
              <w:jc w:val="center"/>
              <w:outlineLvl w:val="9"/>
              <w:rPr>
                <w:rFonts w:hint="eastAsia" w:ascii="Times New Roman" w:hAnsi="Times New Roman" w:eastAsia="宋体" w:cs="Times New Roman"/>
                <w:color w:val="auto"/>
                <w:szCs w:val="21"/>
                <w:highlight w:val="none"/>
                <w:lang w:eastAsia="zh-CN"/>
              </w:rPr>
            </w:pPr>
            <w:r>
              <w:rPr>
                <w:rFonts w:hint="eastAsia" w:ascii="宋体" w:hAnsi="宋体" w:eastAsia="宋体" w:cs="Times New Roman"/>
                <w:color w:val="auto"/>
                <w:szCs w:val="21"/>
                <w:highlight w:val="none"/>
                <w:lang w:val="en-US" w:eastAsia="zh-CN"/>
              </w:rPr>
              <w:t>瑞安市妇幼保健院</w:t>
            </w:r>
            <w:r>
              <w:rPr>
                <w:rFonts w:hint="eastAsia" w:ascii="宋体" w:hAnsi="宋体" w:eastAsia="宋体" w:cs="Times New Roman"/>
                <w:color w:val="auto"/>
                <w:szCs w:val="21"/>
                <w:highlight w:val="none"/>
              </w:rPr>
              <w:t>指定地点</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50" w:hRule="atLeast"/>
          <w:jc w:val="center"/>
        </w:trPr>
        <w:tc>
          <w:tcPr>
            <w:tcW w:w="9010" w:type="dxa"/>
            <w:gridSpan w:val="7"/>
            <w:noWrap w:val="0"/>
            <w:vAlign w:val="center"/>
          </w:tcPr>
          <w:p>
            <w:pPr>
              <w:pageBreakBefore w:val="0"/>
              <w:kinsoku/>
              <w:wordWrap/>
              <w:overflowPunct/>
              <w:topLinePunct w:val="0"/>
              <w:bidi w:val="0"/>
              <w:jc w:val="center"/>
              <w:outlineLvl w:val="9"/>
              <w:rPr>
                <w:rFonts w:ascii="Times New Roman" w:hAnsi="Times New Roman" w:eastAsia="宋体" w:cs="Times New Roman"/>
                <w:color w:val="auto"/>
                <w:highlight w:val="none"/>
              </w:rPr>
            </w:pPr>
            <w:r>
              <w:rPr>
                <w:rFonts w:ascii="Times New Roman" w:hAnsi="宋体" w:eastAsia="宋体" w:cs="Times New Roman"/>
                <w:color w:val="auto"/>
                <w:highlight w:val="none"/>
              </w:rPr>
              <w:t>投标人须提供的其他技术资料全套</w:t>
            </w:r>
          </w:p>
        </w:tc>
      </w:tr>
    </w:tbl>
    <w:p>
      <w:pPr>
        <w:pageBreakBefore w:val="0"/>
        <w:kinsoku/>
        <w:wordWrap/>
        <w:overflowPunct/>
        <w:topLinePunct w:val="0"/>
        <w:bidi w:val="0"/>
        <w:outlineLvl w:val="9"/>
        <w:rPr>
          <w:rFonts w:hint="eastAsia"/>
          <w:bCs/>
          <w:highlight w:val="none"/>
        </w:rPr>
      </w:pPr>
      <w:r>
        <w:rPr>
          <w:bCs/>
          <w:highlight w:val="none"/>
        </w:rPr>
        <w:t>备注</w:t>
      </w:r>
      <w:r>
        <w:rPr>
          <w:rFonts w:hint="eastAsia"/>
          <w:bCs/>
          <w:highlight w:val="none"/>
        </w:rPr>
        <w:t>：</w:t>
      </w:r>
    </w:p>
    <w:p>
      <w:pPr>
        <w:pageBreakBefore w:val="0"/>
        <w:kinsoku/>
        <w:wordWrap/>
        <w:overflowPunct/>
        <w:topLinePunct w:val="0"/>
        <w:bidi w:val="0"/>
        <w:spacing w:line="360" w:lineRule="auto"/>
        <w:ind w:firstLine="420" w:firstLineChars="200"/>
        <w:outlineLvl w:val="9"/>
        <w:rPr>
          <w:rFonts w:hint="eastAsia" w:ascii="宋体" w:hAnsi="宋体" w:cs="宋体"/>
          <w:bCs/>
          <w:szCs w:val="21"/>
          <w:highlight w:val="none"/>
        </w:rPr>
      </w:pPr>
      <w:r>
        <w:rPr>
          <w:rFonts w:hint="eastAsia" w:ascii="宋体" w:hAnsi="宋体" w:cs="宋体"/>
          <w:bCs/>
          <w:szCs w:val="21"/>
          <w:highlight w:val="none"/>
        </w:rPr>
        <w:t>▲(1)如投标人分项报价超过各预算单价视为无效投标。</w:t>
      </w:r>
      <w:r>
        <w:rPr>
          <w:rFonts w:hint="eastAsia" w:ascii="Times New Roman" w:hAnsi="Times New Roman" w:eastAsia="宋体" w:cs="Times New Roman"/>
          <w:b w:val="0"/>
          <w:bCs w:val="0"/>
          <w:color w:val="auto"/>
          <w:highlight w:val="none"/>
          <w:lang w:val="en-US" w:eastAsia="zh-CN"/>
        </w:rPr>
        <w:t>投标人</w:t>
      </w:r>
      <w:r>
        <w:rPr>
          <w:rFonts w:hint="eastAsia" w:cs="Times New Roman"/>
          <w:b w:val="0"/>
          <w:bCs w:val="0"/>
          <w:color w:val="auto"/>
          <w:highlight w:val="none"/>
          <w:lang w:val="en-US" w:eastAsia="zh-CN"/>
        </w:rPr>
        <w:t>各分项</w:t>
      </w:r>
      <w:r>
        <w:rPr>
          <w:rFonts w:hint="eastAsia" w:ascii="Times New Roman" w:hAnsi="Times New Roman" w:eastAsia="宋体" w:cs="Times New Roman"/>
          <w:b w:val="0"/>
          <w:bCs w:val="0"/>
          <w:color w:val="auto"/>
          <w:highlight w:val="none"/>
          <w:lang w:val="en-US" w:eastAsia="zh-CN"/>
        </w:rPr>
        <w:t>的单价报价最多保留两位小数（若有两位以上小数，则直接舍去多余小数，不做四舍五入）。</w:t>
      </w:r>
    </w:p>
    <w:p>
      <w:pPr>
        <w:pageBreakBefore w:val="0"/>
        <w:kinsoku/>
        <w:wordWrap/>
        <w:overflowPunct/>
        <w:topLinePunct w:val="0"/>
        <w:bidi w:val="0"/>
        <w:spacing w:line="360" w:lineRule="auto"/>
        <w:ind w:firstLine="420" w:firstLineChars="200"/>
        <w:outlineLvl w:val="9"/>
        <w:rPr>
          <w:rFonts w:hint="eastAsia" w:ascii="宋体" w:hAnsi="宋体" w:cs="宋体"/>
          <w:bCs/>
          <w:szCs w:val="21"/>
        </w:rPr>
      </w:pPr>
      <w:r>
        <w:rPr>
          <w:rFonts w:hint="eastAsia" w:ascii="宋体" w:hAnsi="宋体" w:cs="宋体"/>
          <w:bCs/>
          <w:szCs w:val="21"/>
        </w:rPr>
        <w:t>▲(2)不得缺项漏项报价，否则将视为</w:t>
      </w:r>
      <w:r>
        <w:rPr>
          <w:rFonts w:hint="eastAsia" w:ascii="宋体" w:hAnsi="宋体" w:cs="宋体"/>
          <w:bCs/>
          <w:szCs w:val="21"/>
          <w:lang w:val="en-US" w:eastAsia="zh-CN"/>
        </w:rPr>
        <w:t>投标无效</w:t>
      </w:r>
      <w:r>
        <w:rPr>
          <w:rFonts w:hint="eastAsia" w:ascii="宋体" w:hAnsi="宋体" w:cs="宋体"/>
          <w:bCs/>
          <w:szCs w:val="21"/>
        </w:rPr>
        <w:t>。</w:t>
      </w:r>
    </w:p>
    <w:p>
      <w:pPr>
        <w:pageBreakBefore w:val="0"/>
        <w:kinsoku/>
        <w:wordWrap/>
        <w:overflowPunct/>
        <w:topLinePunct w:val="0"/>
        <w:bidi w:val="0"/>
        <w:spacing w:line="360" w:lineRule="auto"/>
        <w:ind w:firstLine="420" w:firstLineChars="200"/>
        <w:outlineLvl w:val="9"/>
        <w:rPr>
          <w:rFonts w:hint="eastAsia" w:ascii="宋体" w:hAnsi="宋体" w:cs="宋体"/>
          <w:bCs/>
          <w:szCs w:val="21"/>
        </w:rPr>
      </w:pPr>
      <w:r>
        <w:rPr>
          <w:rFonts w:hint="eastAsia" w:ascii="宋体" w:hAnsi="宋体" w:cs="宋体"/>
          <w:bCs/>
          <w:szCs w:val="21"/>
        </w:rPr>
        <w:t>(3)数量为预估数量，按实际供货量结算。如采购金额达到合同金额或合同期满，即视为合同完全履行完毕，双方的合同将自动终止。</w:t>
      </w:r>
    </w:p>
    <w:p>
      <w:pPr>
        <w:keepNext/>
        <w:keepLines/>
        <w:pageBreakBefore w:val="0"/>
        <w:widowControl w:val="0"/>
        <w:kinsoku/>
        <w:wordWrap/>
        <w:overflowPunct/>
        <w:topLinePunct w:val="0"/>
        <w:bidi w:val="0"/>
        <w:snapToGrid w:val="0"/>
        <w:spacing w:line="360" w:lineRule="auto"/>
        <w:ind w:left="0" w:leftChars="0" w:firstLine="0" w:firstLineChars="0"/>
        <w:jc w:val="both"/>
        <w:outlineLvl w:val="9"/>
        <w:rPr>
          <w:rFonts w:hint="eastAsia" w:ascii="Times New Roman" w:hAnsi="宋体" w:eastAsia="宋体" w:cs="Times New Roman"/>
          <w:b/>
          <w:bCs/>
          <w:kern w:val="2"/>
          <w:sz w:val="21"/>
          <w:szCs w:val="32"/>
          <w:lang w:val="en-US" w:eastAsia="zh-CN" w:bidi="ar-SA"/>
        </w:rPr>
      </w:pPr>
      <w:r>
        <w:rPr>
          <w:rFonts w:ascii="Times New Roman" w:hAnsi="宋体" w:eastAsia="宋体" w:cs="Times New Roman"/>
          <w:b/>
          <w:bCs/>
          <w:kern w:val="2"/>
          <w:sz w:val="21"/>
          <w:szCs w:val="32"/>
          <w:lang w:val="en-US" w:eastAsia="zh-CN" w:bidi="ar-SA"/>
        </w:rPr>
        <w:t>二、招标技术要求</w:t>
      </w:r>
    </w:p>
    <w:tbl>
      <w:tblPr>
        <w:tblStyle w:val="4"/>
        <w:tblW w:w="0" w:type="auto"/>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69"/>
        <w:gridCol w:w="7914"/>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969" w:type="dxa"/>
            <w:noWrap w:val="0"/>
            <w:vAlign w:val="top"/>
          </w:tcPr>
          <w:p>
            <w:pPr>
              <w:pageBreakBefore w:val="0"/>
              <w:widowControl/>
              <w:kinsoku/>
              <w:wordWrap/>
              <w:overflowPunct/>
              <w:topLinePunct w:val="0"/>
              <w:bidi w:val="0"/>
              <w:spacing w:line="240" w:lineRule="auto"/>
              <w:jc w:val="center"/>
              <w:outlineLvl w:val="9"/>
              <w:rPr>
                <w:rFonts w:hint="eastAsia" w:ascii="Times New Roman" w:hAnsi="Times New Roman" w:eastAsia="宋体" w:cs="Times New Roman"/>
                <w:kern w:val="0"/>
                <w:sz w:val="21"/>
                <w:szCs w:val="21"/>
                <w:lang w:eastAsia="zh-CN"/>
              </w:rPr>
            </w:pPr>
            <w:r>
              <w:rPr>
                <w:rFonts w:hint="eastAsia" w:ascii="Times New Roman" w:hAnsi="Times New Roman" w:eastAsia="宋体" w:cs="Times New Roman"/>
                <w:kern w:val="0"/>
                <w:sz w:val="21"/>
                <w:szCs w:val="21"/>
                <w:lang w:eastAsia="zh-CN"/>
              </w:rPr>
              <w:t>序号</w:t>
            </w:r>
          </w:p>
        </w:tc>
        <w:tc>
          <w:tcPr>
            <w:tcW w:w="7914" w:type="dxa"/>
            <w:noWrap w:val="0"/>
            <w:vAlign w:val="top"/>
          </w:tcPr>
          <w:p>
            <w:pPr>
              <w:pageBreakBefore w:val="0"/>
              <w:widowControl/>
              <w:kinsoku/>
              <w:wordWrap/>
              <w:overflowPunct/>
              <w:topLinePunct w:val="0"/>
              <w:bidi w:val="0"/>
              <w:spacing w:line="240" w:lineRule="auto"/>
              <w:jc w:val="center"/>
              <w:outlineLvl w:val="9"/>
              <w:rPr>
                <w:rFonts w:hint="eastAsia" w:ascii="Times New Roman" w:hAnsi="宋体" w:eastAsia="宋体" w:cs="宋体"/>
                <w:kern w:val="0"/>
                <w:sz w:val="21"/>
                <w:szCs w:val="21"/>
                <w:lang w:eastAsia="zh-CN"/>
              </w:rPr>
            </w:pPr>
            <w:r>
              <w:rPr>
                <w:rFonts w:hint="eastAsia" w:ascii="Times New Roman" w:hAnsi="宋体" w:eastAsia="宋体" w:cs="宋体"/>
                <w:kern w:val="0"/>
                <w:sz w:val="21"/>
                <w:szCs w:val="21"/>
                <w:lang w:eastAsia="zh-CN"/>
              </w:rPr>
              <w:t>招标要求</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969" w:type="dxa"/>
            <w:noWrap w:val="0"/>
            <w:vAlign w:val="top"/>
          </w:tcPr>
          <w:p>
            <w:pPr>
              <w:pageBreakBefore w:val="0"/>
              <w:widowControl/>
              <w:kinsoku/>
              <w:wordWrap/>
              <w:overflowPunct/>
              <w:topLinePunct w:val="0"/>
              <w:bidi w:val="0"/>
              <w:spacing w:line="240" w:lineRule="auto"/>
              <w:jc w:val="center"/>
              <w:outlineLvl w:val="9"/>
              <w:rPr>
                <w:rFonts w:ascii="Times New Roman" w:hAnsi="Times New Roman" w:eastAsia="宋体" w:cs="Times New Roman"/>
                <w:kern w:val="0"/>
                <w:sz w:val="21"/>
                <w:szCs w:val="21"/>
              </w:rPr>
            </w:pPr>
            <w:r>
              <w:rPr>
                <w:rFonts w:ascii="Times New Roman" w:hAnsi="Times New Roman" w:eastAsia="宋体" w:cs="Times New Roman"/>
                <w:kern w:val="0"/>
                <w:sz w:val="21"/>
                <w:szCs w:val="21"/>
              </w:rPr>
              <w:t>1</w:t>
            </w:r>
          </w:p>
        </w:tc>
        <w:tc>
          <w:tcPr>
            <w:tcW w:w="7914" w:type="dxa"/>
            <w:noWrap w:val="0"/>
            <w:vAlign w:val="top"/>
          </w:tcPr>
          <w:p>
            <w:pPr>
              <w:pageBreakBefore w:val="0"/>
              <w:widowControl/>
              <w:kinsoku/>
              <w:wordWrap/>
              <w:overflowPunct/>
              <w:topLinePunct w:val="0"/>
              <w:bidi w:val="0"/>
              <w:spacing w:line="240" w:lineRule="auto"/>
              <w:outlineLvl w:val="9"/>
              <w:rPr>
                <w:rFonts w:ascii="Times New Roman" w:hAnsi="Times New Roman" w:eastAsia="宋体" w:cs="Times New Roman"/>
                <w:kern w:val="0"/>
                <w:sz w:val="21"/>
                <w:szCs w:val="21"/>
              </w:rPr>
            </w:pPr>
            <w:r>
              <w:rPr>
                <w:rFonts w:hint="eastAsia" w:ascii="Times New Roman" w:hAnsi="宋体" w:eastAsia="宋体" w:cs="宋体"/>
                <w:kern w:val="0"/>
                <w:sz w:val="21"/>
                <w:szCs w:val="21"/>
              </w:rPr>
              <w:t>消毒技术要求：</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969" w:type="dxa"/>
            <w:noWrap w:val="0"/>
            <w:vAlign w:val="top"/>
          </w:tcPr>
          <w:p>
            <w:pPr>
              <w:pageBreakBefore w:val="0"/>
              <w:widowControl/>
              <w:kinsoku/>
              <w:wordWrap/>
              <w:overflowPunct/>
              <w:topLinePunct w:val="0"/>
              <w:bidi w:val="0"/>
              <w:spacing w:line="240" w:lineRule="auto"/>
              <w:jc w:val="center"/>
              <w:outlineLvl w:val="9"/>
              <w:rPr>
                <w:rFonts w:ascii="Times New Roman" w:hAnsi="Times New Roman" w:eastAsia="宋体" w:cs="Times New Roman"/>
                <w:kern w:val="0"/>
                <w:sz w:val="21"/>
                <w:szCs w:val="21"/>
              </w:rPr>
            </w:pPr>
            <w:r>
              <w:rPr>
                <w:rFonts w:ascii="Times New Roman" w:hAnsi="Times New Roman" w:eastAsia="宋体" w:cs="Times New Roman"/>
                <w:kern w:val="0"/>
                <w:sz w:val="21"/>
                <w:szCs w:val="21"/>
              </w:rPr>
              <w:t>1.1</w:t>
            </w:r>
          </w:p>
        </w:tc>
        <w:tc>
          <w:tcPr>
            <w:tcW w:w="7914" w:type="dxa"/>
            <w:noWrap w:val="0"/>
            <w:vAlign w:val="top"/>
          </w:tcPr>
          <w:p>
            <w:pPr>
              <w:pageBreakBefore w:val="0"/>
              <w:widowControl/>
              <w:kinsoku/>
              <w:wordWrap/>
              <w:overflowPunct/>
              <w:topLinePunct w:val="0"/>
              <w:bidi w:val="0"/>
              <w:spacing w:line="240" w:lineRule="auto"/>
              <w:outlineLvl w:val="9"/>
              <w:rPr>
                <w:rFonts w:hint="eastAsia" w:ascii="Times New Roman" w:hAnsi="宋体" w:eastAsia="宋体" w:cs="宋体"/>
                <w:kern w:val="0"/>
                <w:sz w:val="21"/>
                <w:szCs w:val="21"/>
              </w:rPr>
            </w:pPr>
            <w:r>
              <w:rPr>
                <w:rFonts w:hint="eastAsia" w:ascii="Times New Roman" w:hAnsi="宋体" w:eastAsia="宋体" w:cs="宋体"/>
                <w:kern w:val="0"/>
                <w:sz w:val="21"/>
                <w:szCs w:val="21"/>
              </w:rPr>
              <w:t>采用单过硫酸氢钾为主要成分消毒粉，具体技术要求如下：</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969" w:type="dxa"/>
            <w:noWrap w:val="0"/>
            <w:vAlign w:val="top"/>
          </w:tcPr>
          <w:p>
            <w:pPr>
              <w:pageBreakBefore w:val="0"/>
              <w:widowControl/>
              <w:kinsoku/>
              <w:wordWrap/>
              <w:overflowPunct/>
              <w:topLinePunct w:val="0"/>
              <w:bidi w:val="0"/>
              <w:spacing w:line="240" w:lineRule="auto"/>
              <w:jc w:val="center"/>
              <w:outlineLvl w:val="9"/>
              <w:rPr>
                <w:rFonts w:ascii="Times New Roman" w:hAnsi="Times New Roman" w:eastAsia="宋体" w:cs="Times New Roman"/>
                <w:color w:val="000000"/>
                <w:kern w:val="0"/>
                <w:sz w:val="21"/>
                <w:szCs w:val="21"/>
              </w:rPr>
            </w:pPr>
            <w:r>
              <w:rPr>
                <w:rFonts w:hint="eastAsia" w:ascii="Times New Roman" w:hAnsi="宋体" w:eastAsia="宋体" w:cs="宋体"/>
                <w:kern w:val="0"/>
                <w:sz w:val="21"/>
                <w:szCs w:val="21"/>
              </w:rPr>
              <w:t>▲</w:t>
            </w:r>
            <w:r>
              <w:rPr>
                <w:rFonts w:ascii="Times New Roman" w:hAnsi="Times New Roman" w:eastAsia="宋体" w:cs="Times New Roman"/>
                <w:color w:val="000000"/>
                <w:kern w:val="0"/>
                <w:sz w:val="21"/>
                <w:szCs w:val="21"/>
              </w:rPr>
              <w:t>1.1.1</w:t>
            </w:r>
          </w:p>
        </w:tc>
        <w:tc>
          <w:tcPr>
            <w:tcW w:w="7914" w:type="dxa"/>
            <w:noWrap w:val="0"/>
            <w:vAlign w:val="top"/>
          </w:tcPr>
          <w:p>
            <w:pPr>
              <w:pageBreakBefore w:val="0"/>
              <w:widowControl/>
              <w:kinsoku/>
              <w:wordWrap/>
              <w:overflowPunct/>
              <w:topLinePunct w:val="0"/>
              <w:bidi w:val="0"/>
              <w:spacing w:line="240" w:lineRule="auto"/>
              <w:outlineLvl w:val="9"/>
              <w:rPr>
                <w:rFonts w:hint="eastAsia" w:ascii="Times New Roman" w:hAnsi="宋体" w:eastAsia="宋体" w:cs="宋体"/>
                <w:kern w:val="0"/>
                <w:sz w:val="21"/>
                <w:szCs w:val="21"/>
              </w:rPr>
            </w:pPr>
            <w:r>
              <w:rPr>
                <w:rFonts w:hint="eastAsia" w:ascii="Times New Roman" w:hAnsi="宋体" w:eastAsia="宋体" w:cs="宋体"/>
                <w:kern w:val="0"/>
                <w:sz w:val="21"/>
                <w:szCs w:val="21"/>
              </w:rPr>
              <w:t>主要成分：单过硫酸氢钾复合盐，含量最低不得低于19%</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969" w:type="dxa"/>
            <w:noWrap w:val="0"/>
            <w:vAlign w:val="top"/>
          </w:tcPr>
          <w:p>
            <w:pPr>
              <w:pageBreakBefore w:val="0"/>
              <w:widowControl/>
              <w:kinsoku/>
              <w:wordWrap/>
              <w:overflowPunct/>
              <w:topLinePunct w:val="0"/>
              <w:bidi w:val="0"/>
              <w:spacing w:line="240" w:lineRule="auto"/>
              <w:jc w:val="center"/>
              <w:outlineLvl w:val="9"/>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1.1.2</w:t>
            </w:r>
          </w:p>
        </w:tc>
        <w:tc>
          <w:tcPr>
            <w:tcW w:w="7914" w:type="dxa"/>
            <w:noWrap w:val="0"/>
            <w:vAlign w:val="top"/>
          </w:tcPr>
          <w:p>
            <w:pPr>
              <w:pageBreakBefore w:val="0"/>
              <w:widowControl/>
              <w:kinsoku/>
              <w:wordWrap/>
              <w:overflowPunct/>
              <w:topLinePunct w:val="0"/>
              <w:bidi w:val="0"/>
              <w:spacing w:line="240" w:lineRule="auto"/>
              <w:outlineLvl w:val="9"/>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 xml:space="preserve"> </w:t>
            </w:r>
            <w:r>
              <w:rPr>
                <w:rFonts w:hint="eastAsia" w:ascii="Times New Roman" w:hAnsi="宋体" w:eastAsia="宋体" w:cs="宋体"/>
                <w:kern w:val="0"/>
                <w:sz w:val="21"/>
                <w:szCs w:val="21"/>
              </w:rPr>
              <w:t>性状：白色粉末状</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969" w:type="dxa"/>
            <w:noWrap w:val="0"/>
            <w:vAlign w:val="top"/>
          </w:tcPr>
          <w:p>
            <w:pPr>
              <w:pageBreakBefore w:val="0"/>
              <w:widowControl/>
              <w:kinsoku/>
              <w:wordWrap/>
              <w:overflowPunct/>
              <w:topLinePunct w:val="0"/>
              <w:bidi w:val="0"/>
              <w:spacing w:line="240" w:lineRule="auto"/>
              <w:jc w:val="center"/>
              <w:outlineLvl w:val="9"/>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1.1.3</w:t>
            </w:r>
          </w:p>
        </w:tc>
        <w:tc>
          <w:tcPr>
            <w:tcW w:w="7914" w:type="dxa"/>
            <w:noWrap w:val="0"/>
            <w:vAlign w:val="top"/>
          </w:tcPr>
          <w:p>
            <w:pPr>
              <w:pageBreakBefore w:val="0"/>
              <w:widowControl/>
              <w:kinsoku/>
              <w:wordWrap/>
              <w:overflowPunct/>
              <w:topLinePunct w:val="0"/>
              <w:bidi w:val="0"/>
              <w:spacing w:line="240" w:lineRule="auto"/>
              <w:outlineLvl w:val="9"/>
              <w:rPr>
                <w:rFonts w:ascii="Times New Roman" w:hAnsi="Times New Roman" w:eastAsia="宋体" w:cs="Times New Roman"/>
                <w:color w:val="000000"/>
                <w:kern w:val="0"/>
                <w:sz w:val="21"/>
                <w:szCs w:val="21"/>
              </w:rPr>
            </w:pPr>
            <w:r>
              <w:rPr>
                <w:rFonts w:ascii="Times New Roman" w:hAnsi="Times New Roman" w:eastAsia="宋体" w:cs="Times New Roman"/>
                <w:kern w:val="0"/>
                <w:sz w:val="21"/>
                <w:szCs w:val="21"/>
              </w:rPr>
              <w:t xml:space="preserve">PH </w:t>
            </w:r>
            <w:r>
              <w:rPr>
                <w:rFonts w:hint="eastAsia" w:ascii="Times New Roman" w:hAnsi="宋体" w:eastAsia="宋体" w:cs="宋体"/>
                <w:kern w:val="0"/>
                <w:sz w:val="21"/>
                <w:szCs w:val="21"/>
              </w:rPr>
              <w:t>值（</w:t>
            </w:r>
            <w:r>
              <w:rPr>
                <w:rFonts w:ascii="Times New Roman" w:hAnsi="Times New Roman" w:eastAsia="宋体" w:cs="Times New Roman"/>
                <w:kern w:val="0"/>
                <w:sz w:val="21"/>
                <w:szCs w:val="21"/>
              </w:rPr>
              <w:t>25</w:t>
            </w:r>
            <w:r>
              <w:rPr>
                <w:rFonts w:ascii="Times New Roman" w:hAnsi="宋体" w:eastAsia="宋体" w:cs="Times New Roman"/>
                <w:kern w:val="0"/>
                <w:sz w:val="21"/>
                <w:szCs w:val="21"/>
              </w:rPr>
              <w:t>℃</w:t>
            </w:r>
            <w:r>
              <w:rPr>
                <w:rFonts w:ascii="Times New Roman" w:hAnsi="Times New Roman" w:eastAsia="宋体" w:cs="Times New Roman"/>
                <w:kern w:val="0"/>
                <w:sz w:val="21"/>
                <w:szCs w:val="21"/>
              </w:rPr>
              <w:t>) 1%</w:t>
            </w:r>
            <w:r>
              <w:rPr>
                <w:rFonts w:hint="eastAsia" w:ascii="Times New Roman" w:hAnsi="宋体" w:eastAsia="宋体" w:cs="宋体"/>
                <w:kern w:val="0"/>
                <w:sz w:val="21"/>
                <w:szCs w:val="21"/>
              </w:rPr>
              <w:t>水溶液：</w:t>
            </w:r>
            <w:r>
              <w:rPr>
                <w:rFonts w:ascii="Times New Roman" w:hAnsi="Times New Roman" w:eastAsia="宋体" w:cs="Times New Roman"/>
                <w:kern w:val="0"/>
                <w:sz w:val="21"/>
                <w:szCs w:val="21"/>
              </w:rPr>
              <w:t>4—6</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969" w:type="dxa"/>
            <w:noWrap w:val="0"/>
            <w:vAlign w:val="top"/>
          </w:tcPr>
          <w:p>
            <w:pPr>
              <w:pageBreakBefore w:val="0"/>
              <w:widowControl/>
              <w:kinsoku/>
              <w:wordWrap/>
              <w:overflowPunct/>
              <w:topLinePunct w:val="0"/>
              <w:bidi w:val="0"/>
              <w:spacing w:line="240" w:lineRule="auto"/>
              <w:jc w:val="center"/>
              <w:outlineLvl w:val="9"/>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1.1.4</w:t>
            </w:r>
          </w:p>
        </w:tc>
        <w:tc>
          <w:tcPr>
            <w:tcW w:w="7914" w:type="dxa"/>
            <w:noWrap w:val="0"/>
            <w:vAlign w:val="top"/>
          </w:tcPr>
          <w:p>
            <w:pPr>
              <w:pageBreakBefore w:val="0"/>
              <w:widowControl/>
              <w:kinsoku/>
              <w:wordWrap/>
              <w:overflowPunct/>
              <w:topLinePunct w:val="0"/>
              <w:bidi w:val="0"/>
              <w:spacing w:line="240" w:lineRule="auto"/>
              <w:outlineLvl w:val="9"/>
              <w:rPr>
                <w:rFonts w:ascii="Times New Roman" w:hAnsi="Times New Roman" w:eastAsia="宋体" w:cs="Times New Roman"/>
                <w:color w:val="000000"/>
                <w:kern w:val="0"/>
                <w:sz w:val="21"/>
                <w:szCs w:val="21"/>
              </w:rPr>
            </w:pPr>
            <w:r>
              <w:rPr>
                <w:rFonts w:hint="eastAsia" w:ascii="Times New Roman" w:hAnsi="宋体" w:eastAsia="宋体" w:cs="宋体"/>
                <w:kern w:val="0"/>
                <w:sz w:val="21"/>
                <w:szCs w:val="21"/>
              </w:rPr>
              <w:t>氯化钠含量</w:t>
            </w:r>
            <w:r>
              <w:rPr>
                <w:rFonts w:ascii="Times New Roman" w:hAnsi="Times New Roman" w:eastAsia="宋体" w:cs="Times New Roman"/>
                <w:kern w:val="0"/>
                <w:sz w:val="21"/>
                <w:szCs w:val="21"/>
              </w:rPr>
              <w:t>%</w:t>
            </w:r>
            <w:r>
              <w:rPr>
                <w:rFonts w:hint="eastAsia" w:ascii="Times New Roman" w:hAnsi="Times New Roman" w:eastAsia="宋体" w:cs="Times New Roman"/>
                <w:kern w:val="0"/>
                <w:sz w:val="21"/>
                <w:szCs w:val="21"/>
                <w:lang w:eastAsia="zh-CN"/>
              </w:rPr>
              <w:t>：</w:t>
            </w:r>
            <w:r>
              <w:rPr>
                <w:rFonts w:ascii="Times New Roman" w:hAnsi="Times New Roman" w:eastAsia="宋体" w:cs="Times New Roman"/>
                <w:kern w:val="0"/>
                <w:sz w:val="21"/>
                <w:szCs w:val="21"/>
              </w:rPr>
              <w:t>4~6</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969" w:type="dxa"/>
            <w:noWrap w:val="0"/>
            <w:vAlign w:val="top"/>
          </w:tcPr>
          <w:p>
            <w:pPr>
              <w:pageBreakBefore w:val="0"/>
              <w:widowControl/>
              <w:kinsoku/>
              <w:wordWrap/>
              <w:overflowPunct/>
              <w:topLinePunct w:val="0"/>
              <w:bidi w:val="0"/>
              <w:spacing w:line="240" w:lineRule="auto"/>
              <w:jc w:val="center"/>
              <w:outlineLvl w:val="9"/>
              <w:rPr>
                <w:rFonts w:ascii="Times New Roman" w:hAnsi="Times New Roman" w:eastAsia="宋体" w:cs="Times New Roman"/>
                <w:color w:val="000000"/>
                <w:kern w:val="0"/>
                <w:sz w:val="21"/>
                <w:szCs w:val="21"/>
              </w:rPr>
            </w:pPr>
            <w:r>
              <w:rPr>
                <w:rFonts w:hint="eastAsia" w:ascii="Times New Roman" w:hAnsi="宋体" w:eastAsia="宋体" w:cs="宋体"/>
                <w:kern w:val="0"/>
                <w:sz w:val="21"/>
                <w:szCs w:val="21"/>
              </w:rPr>
              <w:t>▲</w:t>
            </w:r>
            <w:r>
              <w:rPr>
                <w:rFonts w:ascii="Times New Roman" w:hAnsi="Times New Roman" w:eastAsia="宋体" w:cs="Times New Roman"/>
                <w:color w:val="000000"/>
                <w:kern w:val="0"/>
                <w:sz w:val="21"/>
                <w:szCs w:val="21"/>
              </w:rPr>
              <w:t>1.1.5</w:t>
            </w:r>
          </w:p>
        </w:tc>
        <w:tc>
          <w:tcPr>
            <w:tcW w:w="7914" w:type="dxa"/>
            <w:noWrap w:val="0"/>
            <w:vAlign w:val="top"/>
          </w:tcPr>
          <w:p>
            <w:pPr>
              <w:pageBreakBefore w:val="0"/>
              <w:widowControl/>
              <w:kinsoku/>
              <w:wordWrap/>
              <w:overflowPunct/>
              <w:topLinePunct w:val="0"/>
              <w:bidi w:val="0"/>
              <w:spacing w:line="240" w:lineRule="auto"/>
              <w:outlineLvl w:val="9"/>
              <w:rPr>
                <w:rFonts w:ascii="Times New Roman" w:hAnsi="Times New Roman" w:eastAsia="宋体" w:cs="Times New Roman"/>
                <w:color w:val="000000"/>
                <w:kern w:val="0"/>
                <w:sz w:val="21"/>
                <w:szCs w:val="21"/>
              </w:rPr>
            </w:pPr>
            <w:r>
              <w:rPr>
                <w:rFonts w:hint="eastAsia" w:ascii="Times New Roman" w:hAnsi="宋体" w:eastAsia="宋体" w:cs="宋体"/>
                <w:kern w:val="0"/>
                <w:sz w:val="21"/>
                <w:szCs w:val="21"/>
              </w:rPr>
              <w:t>有效氯含量</w:t>
            </w:r>
            <w:r>
              <w:rPr>
                <w:rFonts w:hint="eastAsia" w:ascii="Times New Roman" w:hAnsi="宋体" w:eastAsia="宋体" w:cs="宋体"/>
                <w:kern w:val="0"/>
                <w:sz w:val="21"/>
                <w:szCs w:val="21"/>
                <w:lang w:val="en-US" w:eastAsia="zh-CN"/>
              </w:rPr>
              <w:t>指标</w:t>
            </w:r>
            <w:r>
              <w:rPr>
                <w:rFonts w:ascii="Times New Roman" w:hAnsi="Times New Roman" w:eastAsia="宋体" w:cs="Times New Roman"/>
                <w:kern w:val="0"/>
                <w:sz w:val="21"/>
                <w:szCs w:val="21"/>
              </w:rPr>
              <w:t>%</w:t>
            </w:r>
            <w:r>
              <w:rPr>
                <w:rFonts w:hint="eastAsia" w:ascii="Times New Roman" w:hAnsi="Times New Roman" w:eastAsia="宋体" w:cs="Times New Roman"/>
                <w:kern w:val="0"/>
                <w:sz w:val="21"/>
                <w:szCs w:val="21"/>
                <w:lang w:eastAsia="zh-CN"/>
              </w:rPr>
              <w:t>：</w:t>
            </w:r>
            <w:r>
              <w:rPr>
                <w:rFonts w:hint="eastAsia" w:ascii="Times New Roman" w:hAnsi="宋体" w:eastAsia="宋体" w:cs="宋体"/>
                <w:kern w:val="0"/>
                <w:sz w:val="21"/>
                <w:szCs w:val="21"/>
              </w:rPr>
              <w:t>最低不得低于</w:t>
            </w:r>
            <w:r>
              <w:rPr>
                <w:rFonts w:ascii="Times New Roman" w:hAnsi="Times New Roman" w:eastAsia="宋体" w:cs="Times New Roman"/>
                <w:kern w:val="0"/>
                <w:sz w:val="21"/>
                <w:szCs w:val="21"/>
              </w:rPr>
              <w:t>40</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969" w:type="dxa"/>
            <w:noWrap w:val="0"/>
            <w:vAlign w:val="top"/>
          </w:tcPr>
          <w:p>
            <w:pPr>
              <w:pageBreakBefore w:val="0"/>
              <w:widowControl/>
              <w:kinsoku/>
              <w:wordWrap/>
              <w:overflowPunct/>
              <w:topLinePunct w:val="0"/>
              <w:bidi w:val="0"/>
              <w:spacing w:line="240" w:lineRule="auto"/>
              <w:jc w:val="center"/>
              <w:outlineLvl w:val="9"/>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1.1.6</w:t>
            </w:r>
          </w:p>
        </w:tc>
        <w:tc>
          <w:tcPr>
            <w:tcW w:w="7914" w:type="dxa"/>
            <w:noWrap w:val="0"/>
            <w:vAlign w:val="top"/>
          </w:tcPr>
          <w:p>
            <w:pPr>
              <w:pageBreakBefore w:val="0"/>
              <w:widowControl/>
              <w:kinsoku/>
              <w:wordWrap/>
              <w:overflowPunct/>
              <w:topLinePunct w:val="0"/>
              <w:bidi w:val="0"/>
              <w:spacing w:line="240" w:lineRule="auto"/>
              <w:outlineLvl w:val="9"/>
              <w:rPr>
                <w:rFonts w:ascii="Times New Roman" w:hAnsi="Times New Roman" w:eastAsia="宋体" w:cs="Times New Roman"/>
                <w:color w:val="000000"/>
                <w:kern w:val="0"/>
                <w:sz w:val="21"/>
                <w:szCs w:val="21"/>
              </w:rPr>
            </w:pPr>
            <w:r>
              <w:rPr>
                <w:rFonts w:hint="eastAsia" w:ascii="Times New Roman" w:hAnsi="宋体" w:eastAsia="宋体" w:cs="宋体"/>
                <w:kern w:val="0"/>
                <w:sz w:val="21"/>
                <w:szCs w:val="21"/>
              </w:rPr>
              <w:t>堆积密度</w:t>
            </w:r>
            <w:r>
              <w:rPr>
                <w:rFonts w:ascii="Times New Roman" w:hAnsi="Times New Roman" w:eastAsia="宋体" w:cs="Times New Roman"/>
                <w:kern w:val="0"/>
                <w:sz w:val="21"/>
                <w:szCs w:val="21"/>
              </w:rPr>
              <w:t>g/cm3</w:t>
            </w:r>
            <w:r>
              <w:rPr>
                <w:rFonts w:hint="eastAsia" w:ascii="Times New Roman" w:hAnsi="Times New Roman" w:eastAsia="宋体" w:cs="Times New Roman"/>
                <w:kern w:val="0"/>
                <w:sz w:val="21"/>
                <w:szCs w:val="21"/>
                <w:lang w:eastAsia="zh-CN"/>
              </w:rPr>
              <w:t>：</w:t>
            </w:r>
            <w:r>
              <w:rPr>
                <w:rFonts w:ascii="Times New Roman" w:hAnsi="Times New Roman" w:eastAsia="宋体" w:cs="Times New Roman"/>
                <w:kern w:val="0"/>
                <w:sz w:val="21"/>
                <w:szCs w:val="21"/>
              </w:rPr>
              <w:t>0.7~1.1</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969" w:type="dxa"/>
            <w:noWrap w:val="0"/>
            <w:vAlign w:val="top"/>
          </w:tcPr>
          <w:p>
            <w:pPr>
              <w:pageBreakBefore w:val="0"/>
              <w:widowControl/>
              <w:kinsoku/>
              <w:wordWrap/>
              <w:overflowPunct/>
              <w:topLinePunct w:val="0"/>
              <w:bidi w:val="0"/>
              <w:spacing w:line="240" w:lineRule="auto"/>
              <w:jc w:val="center"/>
              <w:outlineLvl w:val="9"/>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1.1.7</w:t>
            </w:r>
          </w:p>
        </w:tc>
        <w:tc>
          <w:tcPr>
            <w:tcW w:w="7914" w:type="dxa"/>
            <w:noWrap w:val="0"/>
            <w:vAlign w:val="top"/>
          </w:tcPr>
          <w:p>
            <w:pPr>
              <w:pageBreakBefore w:val="0"/>
              <w:widowControl/>
              <w:kinsoku/>
              <w:wordWrap/>
              <w:overflowPunct/>
              <w:topLinePunct w:val="0"/>
              <w:bidi w:val="0"/>
              <w:spacing w:line="240" w:lineRule="auto"/>
              <w:outlineLvl w:val="9"/>
              <w:rPr>
                <w:rFonts w:ascii="Times New Roman" w:hAnsi="Times New Roman" w:eastAsia="宋体" w:cs="Times New Roman"/>
                <w:color w:val="000000"/>
                <w:kern w:val="0"/>
                <w:sz w:val="21"/>
                <w:szCs w:val="21"/>
              </w:rPr>
            </w:pPr>
            <w:r>
              <w:rPr>
                <w:rFonts w:hint="eastAsia" w:ascii="Times New Roman" w:hAnsi="宋体" w:eastAsia="宋体" w:cs="宋体"/>
                <w:kern w:val="0"/>
                <w:sz w:val="21"/>
                <w:szCs w:val="21"/>
              </w:rPr>
              <w:t>气味：无刺激性气味</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969" w:type="dxa"/>
            <w:noWrap w:val="0"/>
            <w:vAlign w:val="top"/>
          </w:tcPr>
          <w:p>
            <w:pPr>
              <w:pageBreakBefore w:val="0"/>
              <w:widowControl/>
              <w:kinsoku/>
              <w:wordWrap/>
              <w:overflowPunct/>
              <w:topLinePunct w:val="0"/>
              <w:bidi w:val="0"/>
              <w:spacing w:line="240" w:lineRule="auto"/>
              <w:jc w:val="center"/>
              <w:outlineLvl w:val="9"/>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1.1.8</w:t>
            </w:r>
          </w:p>
        </w:tc>
        <w:tc>
          <w:tcPr>
            <w:tcW w:w="7914" w:type="dxa"/>
            <w:noWrap w:val="0"/>
            <w:vAlign w:val="top"/>
          </w:tcPr>
          <w:p>
            <w:pPr>
              <w:pageBreakBefore w:val="0"/>
              <w:widowControl/>
              <w:kinsoku/>
              <w:wordWrap/>
              <w:overflowPunct/>
              <w:topLinePunct w:val="0"/>
              <w:bidi w:val="0"/>
              <w:spacing w:line="240" w:lineRule="auto"/>
              <w:outlineLvl w:val="9"/>
              <w:rPr>
                <w:rFonts w:ascii="Times New Roman" w:hAnsi="Times New Roman" w:eastAsia="宋体" w:cs="Times New Roman"/>
                <w:color w:val="000000"/>
                <w:kern w:val="0"/>
                <w:sz w:val="21"/>
                <w:szCs w:val="21"/>
              </w:rPr>
            </w:pPr>
            <w:r>
              <w:rPr>
                <w:rFonts w:hint="eastAsia" w:ascii="Times New Roman" w:hAnsi="宋体" w:eastAsia="宋体" w:cs="宋体"/>
                <w:kern w:val="0"/>
                <w:sz w:val="21"/>
                <w:szCs w:val="21"/>
              </w:rPr>
              <w:t>稳定性：常温储存</w:t>
            </w:r>
            <w:r>
              <w:rPr>
                <w:rFonts w:ascii="Times New Roman" w:hAnsi="Times New Roman" w:eastAsia="宋体" w:cs="Times New Roman"/>
                <w:kern w:val="0"/>
                <w:sz w:val="21"/>
                <w:szCs w:val="21"/>
              </w:rPr>
              <w:t>24</w:t>
            </w:r>
            <w:r>
              <w:rPr>
                <w:rFonts w:hint="eastAsia" w:ascii="Times New Roman" w:hAnsi="宋体" w:eastAsia="宋体" w:cs="宋体"/>
                <w:kern w:val="0"/>
                <w:sz w:val="21"/>
                <w:szCs w:val="21"/>
              </w:rPr>
              <w:t>个月</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969" w:type="dxa"/>
            <w:noWrap w:val="0"/>
            <w:vAlign w:val="top"/>
          </w:tcPr>
          <w:p>
            <w:pPr>
              <w:pageBreakBefore w:val="0"/>
              <w:widowControl/>
              <w:kinsoku/>
              <w:wordWrap/>
              <w:overflowPunct/>
              <w:topLinePunct w:val="0"/>
              <w:bidi w:val="0"/>
              <w:spacing w:line="240" w:lineRule="auto"/>
              <w:jc w:val="center"/>
              <w:outlineLvl w:val="9"/>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1.1.9</w:t>
            </w:r>
          </w:p>
        </w:tc>
        <w:tc>
          <w:tcPr>
            <w:tcW w:w="7914" w:type="dxa"/>
            <w:noWrap w:val="0"/>
            <w:vAlign w:val="top"/>
          </w:tcPr>
          <w:p>
            <w:pPr>
              <w:pageBreakBefore w:val="0"/>
              <w:widowControl/>
              <w:kinsoku/>
              <w:wordWrap/>
              <w:overflowPunct/>
              <w:topLinePunct w:val="0"/>
              <w:bidi w:val="0"/>
              <w:spacing w:line="240" w:lineRule="auto"/>
              <w:outlineLvl w:val="9"/>
              <w:rPr>
                <w:rFonts w:ascii="Times New Roman" w:hAnsi="Times New Roman" w:eastAsia="宋体" w:cs="Times New Roman"/>
                <w:color w:val="000000"/>
                <w:kern w:val="0"/>
                <w:sz w:val="21"/>
                <w:szCs w:val="21"/>
              </w:rPr>
            </w:pPr>
            <w:r>
              <w:rPr>
                <w:rFonts w:hint="eastAsia" w:ascii="Times New Roman" w:hAnsi="宋体" w:eastAsia="宋体" w:cs="宋体"/>
                <w:kern w:val="0"/>
                <w:sz w:val="21"/>
                <w:szCs w:val="21"/>
              </w:rPr>
              <w:t>溶解性：易溶于水</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969" w:type="dxa"/>
            <w:noWrap w:val="0"/>
            <w:vAlign w:val="top"/>
          </w:tcPr>
          <w:p>
            <w:pPr>
              <w:pageBreakBefore w:val="0"/>
              <w:widowControl/>
              <w:kinsoku/>
              <w:wordWrap/>
              <w:overflowPunct/>
              <w:topLinePunct w:val="0"/>
              <w:bidi w:val="0"/>
              <w:spacing w:line="240" w:lineRule="auto"/>
              <w:jc w:val="center"/>
              <w:outlineLvl w:val="9"/>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1.1.10</w:t>
            </w:r>
          </w:p>
        </w:tc>
        <w:tc>
          <w:tcPr>
            <w:tcW w:w="7914" w:type="dxa"/>
            <w:noWrap w:val="0"/>
            <w:vAlign w:val="top"/>
          </w:tcPr>
          <w:p>
            <w:pPr>
              <w:pageBreakBefore w:val="0"/>
              <w:widowControl/>
              <w:kinsoku/>
              <w:wordWrap/>
              <w:overflowPunct/>
              <w:topLinePunct w:val="0"/>
              <w:bidi w:val="0"/>
              <w:spacing w:line="240" w:lineRule="auto"/>
              <w:outlineLvl w:val="9"/>
              <w:rPr>
                <w:rFonts w:hint="eastAsia" w:ascii="Arial" w:hAnsi="Arial" w:eastAsia="宋体" w:cs="Arial"/>
                <w:snapToGrid w:val="0"/>
                <w:kern w:val="0"/>
                <w:sz w:val="21"/>
                <w:szCs w:val="21"/>
              </w:rPr>
            </w:pPr>
            <w:r>
              <w:rPr>
                <w:rFonts w:hint="eastAsia" w:ascii="Arial" w:hAnsi="Arial" w:eastAsia="宋体" w:cs="Arial"/>
                <w:snapToGrid w:val="0"/>
                <w:kern w:val="0"/>
                <w:sz w:val="21"/>
                <w:szCs w:val="21"/>
              </w:rPr>
              <w:t>消毒粉对于医院污水消毒现场实验报告粪大肠</w:t>
            </w:r>
            <w:r>
              <w:rPr>
                <w:rFonts w:hint="eastAsia" w:ascii="Arial" w:hAnsi="Arial" w:eastAsia="宋体" w:cs="Arial"/>
                <w:snapToGrid w:val="0"/>
                <w:kern w:val="0"/>
                <w:sz w:val="21"/>
                <w:szCs w:val="21"/>
                <w:lang w:val="en-US" w:eastAsia="zh-CN"/>
              </w:rPr>
              <w:t>杆菌</w:t>
            </w:r>
            <w:r>
              <w:rPr>
                <w:rFonts w:hint="eastAsia" w:ascii="Arial" w:hAnsi="Arial" w:eastAsia="宋体" w:cs="Arial"/>
                <w:snapToGrid w:val="0"/>
                <w:kern w:val="0"/>
                <w:sz w:val="21"/>
                <w:szCs w:val="21"/>
              </w:rPr>
              <w:t>杀菌结果需</w:t>
            </w:r>
            <w:r>
              <w:rPr>
                <w:rFonts w:hint="eastAsia" w:ascii="Arial" w:hAnsi="Arial" w:eastAsia="宋体" w:cs="Arial"/>
                <w:snapToGrid w:val="0"/>
                <w:kern w:val="0"/>
                <w:sz w:val="21"/>
                <w:szCs w:val="21"/>
                <w:lang w:val="en-US" w:eastAsia="zh-CN"/>
              </w:rPr>
              <w:t>符合</w:t>
            </w:r>
            <w:r>
              <w:rPr>
                <w:rFonts w:hint="eastAsia" w:ascii="Times New Roman" w:hAnsi="宋体" w:eastAsia="宋体" w:cs="宋体"/>
                <w:color w:val="000000"/>
                <w:kern w:val="0"/>
                <w:sz w:val="21"/>
                <w:szCs w:val="21"/>
                <w:lang w:val="en-US" w:eastAsia="zh-CN"/>
              </w:rPr>
              <w:t>中华人民共和国国家标准GB18466-2005</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969" w:type="dxa"/>
            <w:noWrap w:val="0"/>
            <w:vAlign w:val="top"/>
          </w:tcPr>
          <w:p>
            <w:pPr>
              <w:pageBreakBefore w:val="0"/>
              <w:widowControl/>
              <w:kinsoku/>
              <w:wordWrap/>
              <w:overflowPunct/>
              <w:topLinePunct w:val="0"/>
              <w:bidi w:val="0"/>
              <w:spacing w:line="240" w:lineRule="auto"/>
              <w:jc w:val="center"/>
              <w:outlineLvl w:val="9"/>
              <w:rPr>
                <w:rFonts w:ascii="Times New Roman" w:hAnsi="Times New Roman" w:eastAsia="宋体" w:cs="Times New Roman"/>
                <w:color w:val="000000"/>
                <w:kern w:val="0"/>
                <w:sz w:val="21"/>
                <w:szCs w:val="21"/>
                <w:u w:val="none"/>
              </w:rPr>
            </w:pPr>
            <w:r>
              <w:rPr>
                <w:rFonts w:ascii="Times New Roman" w:hAnsi="Times New Roman" w:eastAsia="宋体" w:cs="Times New Roman"/>
                <w:color w:val="000000"/>
                <w:kern w:val="0"/>
                <w:sz w:val="21"/>
                <w:szCs w:val="21"/>
                <w:u w:val="none"/>
              </w:rPr>
              <w:t>2</w:t>
            </w:r>
          </w:p>
        </w:tc>
        <w:tc>
          <w:tcPr>
            <w:tcW w:w="7914" w:type="dxa"/>
            <w:noWrap w:val="0"/>
            <w:vAlign w:val="top"/>
          </w:tcPr>
          <w:p>
            <w:pPr>
              <w:pageBreakBefore w:val="0"/>
              <w:widowControl/>
              <w:kinsoku/>
              <w:wordWrap/>
              <w:overflowPunct/>
              <w:topLinePunct w:val="0"/>
              <w:bidi w:val="0"/>
              <w:spacing w:line="240" w:lineRule="auto"/>
              <w:outlineLvl w:val="9"/>
              <w:rPr>
                <w:rFonts w:ascii="Times New Roman" w:hAnsi="Times New Roman" w:eastAsia="宋体" w:cs="Times New Roman"/>
                <w:color w:val="000000"/>
                <w:kern w:val="0"/>
                <w:sz w:val="21"/>
                <w:szCs w:val="21"/>
                <w:u w:val="single"/>
              </w:rPr>
            </w:pPr>
            <w:r>
              <w:rPr>
                <w:rFonts w:hint="eastAsia" w:ascii="Times New Roman" w:hAnsi="Times New Roman" w:eastAsia="宋体" w:cs="宋体"/>
                <w:color w:val="000000"/>
                <w:kern w:val="0"/>
                <w:sz w:val="21"/>
                <w:szCs w:val="21"/>
                <w:u w:val="none"/>
              </w:rPr>
              <w:t>其他要求</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969" w:type="dxa"/>
            <w:noWrap w:val="0"/>
            <w:vAlign w:val="top"/>
          </w:tcPr>
          <w:p>
            <w:pPr>
              <w:pageBreakBefore w:val="0"/>
              <w:widowControl/>
              <w:kinsoku/>
              <w:wordWrap/>
              <w:overflowPunct/>
              <w:topLinePunct w:val="0"/>
              <w:bidi w:val="0"/>
              <w:spacing w:line="240" w:lineRule="auto"/>
              <w:jc w:val="center"/>
              <w:outlineLvl w:val="9"/>
              <w:rPr>
                <w:rFonts w:ascii="Times New Roman" w:hAnsi="Times New Roman" w:eastAsia="宋体" w:cs="Times New Roman"/>
                <w:color w:val="000000"/>
                <w:kern w:val="0"/>
                <w:sz w:val="21"/>
                <w:szCs w:val="21"/>
                <w:u w:val="none"/>
              </w:rPr>
            </w:pPr>
            <w:r>
              <w:rPr>
                <w:rFonts w:ascii="Times New Roman" w:hAnsi="Times New Roman" w:eastAsia="宋体" w:cs="Times New Roman"/>
                <w:color w:val="000000"/>
                <w:kern w:val="0"/>
                <w:sz w:val="21"/>
                <w:szCs w:val="21"/>
                <w:u w:val="none"/>
              </w:rPr>
              <w:t>▲</w:t>
            </w:r>
            <w:r>
              <w:rPr>
                <w:rFonts w:hint="eastAsia" w:ascii="Times New Roman" w:hAnsi="Times New Roman" w:eastAsia="宋体" w:cs="Times New Roman"/>
                <w:color w:val="000000"/>
                <w:kern w:val="0"/>
                <w:sz w:val="21"/>
                <w:szCs w:val="21"/>
                <w:u w:val="none"/>
              </w:rPr>
              <w:t>2.1</w:t>
            </w:r>
          </w:p>
        </w:tc>
        <w:tc>
          <w:tcPr>
            <w:tcW w:w="7914" w:type="dxa"/>
            <w:noWrap w:val="0"/>
            <w:vAlign w:val="top"/>
          </w:tcPr>
          <w:p>
            <w:pPr>
              <w:pageBreakBefore w:val="0"/>
              <w:widowControl/>
              <w:kinsoku/>
              <w:wordWrap/>
              <w:overflowPunct/>
              <w:topLinePunct w:val="0"/>
              <w:bidi w:val="0"/>
              <w:spacing w:line="240" w:lineRule="auto"/>
              <w:outlineLvl w:val="9"/>
              <w:rPr>
                <w:rFonts w:ascii="Times New Roman" w:hAnsi="Times New Roman" w:eastAsia="宋体" w:cs="Times New Roman"/>
                <w:color w:val="000000"/>
                <w:kern w:val="0"/>
                <w:sz w:val="21"/>
                <w:szCs w:val="21"/>
              </w:rPr>
            </w:pPr>
            <w:r>
              <w:rPr>
                <w:rFonts w:hint="eastAsia" w:ascii="Times New Roman" w:hAnsi="宋体" w:eastAsia="宋体" w:cs="宋体"/>
                <w:color w:val="000000"/>
                <w:kern w:val="0"/>
                <w:sz w:val="21"/>
                <w:szCs w:val="21"/>
              </w:rPr>
              <w:t>消毒粉产品及生产厂家必须在“全国消毒产品网上备案服务平台”网站上有备案，并可查询到</w:t>
            </w:r>
            <w:r>
              <w:rPr>
                <w:rFonts w:ascii="Times New Roman" w:hAnsi="宋体" w:eastAsia="宋体" w:cs="宋体"/>
                <w:color w:val="000000"/>
                <w:kern w:val="0"/>
                <w:sz w:val="21"/>
                <w:szCs w:val="21"/>
              </w:rPr>
              <w:t>（提供网上查询截图）</w:t>
            </w:r>
            <w:r>
              <w:rPr>
                <w:rFonts w:hint="eastAsia" w:ascii="Times New Roman" w:hAnsi="宋体" w:eastAsia="宋体" w:cs="宋体"/>
                <w:color w:val="000000"/>
                <w:kern w:val="0"/>
                <w:sz w:val="21"/>
                <w:szCs w:val="21"/>
              </w:rPr>
              <w:t>或根据《国家卫生健康委办公厅关于全国消毒产品网上备案信息服务平台上线的通知》国卫监督函［2018］864号的规定，在投标人所在地区消毒产品网上备案信息服务平台有备案，并可查询到（提供网上查询截图）。</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969" w:type="dxa"/>
            <w:noWrap w:val="0"/>
            <w:vAlign w:val="top"/>
          </w:tcPr>
          <w:p>
            <w:pPr>
              <w:pageBreakBefore w:val="0"/>
              <w:widowControl/>
              <w:kinsoku/>
              <w:wordWrap/>
              <w:overflowPunct/>
              <w:topLinePunct w:val="0"/>
              <w:bidi w:val="0"/>
              <w:spacing w:line="240" w:lineRule="auto"/>
              <w:jc w:val="center"/>
              <w:outlineLvl w:val="9"/>
              <w:rPr>
                <w:rFonts w:ascii="Times New Roman" w:hAnsi="Times New Roman" w:eastAsia="宋体" w:cs="Times New Roman"/>
                <w:color w:val="000000"/>
                <w:kern w:val="0"/>
                <w:sz w:val="21"/>
                <w:szCs w:val="21"/>
                <w:u w:val="none"/>
              </w:rPr>
            </w:pPr>
            <w:r>
              <w:rPr>
                <w:rFonts w:hint="eastAsia" w:ascii="宋体" w:hAnsi="宋体" w:eastAsia="宋体" w:cs="宋体"/>
                <w:color w:val="000000"/>
                <w:kern w:val="0"/>
                <w:sz w:val="21"/>
                <w:szCs w:val="21"/>
                <w:lang w:val="en-US" w:eastAsia="zh-CN" w:bidi="ar"/>
              </w:rPr>
              <w:t>▲</w:t>
            </w:r>
            <w:r>
              <w:rPr>
                <w:rFonts w:hint="eastAsia" w:ascii="Times New Roman" w:hAnsi="Times New Roman" w:eastAsia="宋体" w:cs="Times New Roman"/>
                <w:color w:val="000000"/>
                <w:kern w:val="0"/>
                <w:sz w:val="21"/>
                <w:szCs w:val="21"/>
                <w:u w:val="none"/>
              </w:rPr>
              <w:t>2.2</w:t>
            </w:r>
          </w:p>
        </w:tc>
        <w:tc>
          <w:tcPr>
            <w:tcW w:w="7914" w:type="dxa"/>
            <w:noWrap w:val="0"/>
            <w:vAlign w:val="top"/>
          </w:tcPr>
          <w:p>
            <w:pPr>
              <w:pageBreakBefore w:val="0"/>
              <w:widowControl/>
              <w:kinsoku/>
              <w:wordWrap/>
              <w:overflowPunct/>
              <w:topLinePunct w:val="0"/>
              <w:bidi w:val="0"/>
              <w:spacing w:line="240" w:lineRule="auto"/>
              <w:outlineLvl w:val="9"/>
              <w:rPr>
                <w:rFonts w:ascii="Times New Roman" w:hAnsi="Times New Roman" w:eastAsia="宋体" w:cs="Times New Roman"/>
                <w:color w:val="000000"/>
                <w:kern w:val="0"/>
                <w:sz w:val="21"/>
                <w:szCs w:val="21"/>
              </w:rPr>
            </w:pPr>
            <w:r>
              <w:rPr>
                <w:rFonts w:hint="eastAsia" w:ascii="Times New Roman" w:hAnsi="宋体" w:eastAsia="宋体" w:cs="宋体"/>
                <w:color w:val="000000"/>
                <w:kern w:val="0"/>
                <w:sz w:val="21"/>
                <w:szCs w:val="21"/>
              </w:rPr>
              <w:t>消毒粉产品</w:t>
            </w:r>
            <w:r>
              <w:rPr>
                <w:rFonts w:hint="eastAsia" w:ascii="Times New Roman" w:hAnsi="宋体" w:eastAsia="宋体" w:cs="宋体"/>
                <w:color w:val="000000"/>
                <w:kern w:val="0"/>
                <w:sz w:val="21"/>
                <w:szCs w:val="21"/>
                <w:lang w:val="en-US" w:eastAsia="zh-CN"/>
              </w:rPr>
              <w:t>检测应符合中华人民共和国卫生行业标准WS628-2018。消毒后的污水排放符合中华人民共和国国家标准GB18466-2005。</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969" w:type="dxa"/>
            <w:noWrap w:val="0"/>
            <w:vAlign w:val="top"/>
          </w:tcPr>
          <w:p>
            <w:pPr>
              <w:pageBreakBefore w:val="0"/>
              <w:widowControl/>
              <w:kinsoku/>
              <w:wordWrap/>
              <w:overflowPunct/>
              <w:topLinePunct w:val="0"/>
              <w:bidi w:val="0"/>
              <w:spacing w:line="240" w:lineRule="auto"/>
              <w:jc w:val="center"/>
              <w:outlineLvl w:val="9"/>
              <w:rPr>
                <w:rFonts w:ascii="Times New Roman" w:hAnsi="Times New Roman" w:eastAsia="宋体" w:cs="Times New Roman"/>
                <w:color w:val="000000"/>
                <w:kern w:val="0"/>
                <w:sz w:val="21"/>
                <w:szCs w:val="21"/>
                <w:u w:val="none"/>
              </w:rPr>
            </w:pPr>
            <w:r>
              <w:rPr>
                <w:rFonts w:hint="eastAsia" w:ascii="Times New Roman" w:hAnsi="Times New Roman" w:eastAsia="宋体" w:cs="Times New Roman"/>
                <w:color w:val="000000"/>
                <w:kern w:val="0"/>
                <w:sz w:val="21"/>
                <w:szCs w:val="21"/>
                <w:u w:val="none"/>
              </w:rPr>
              <w:t>2.3</w:t>
            </w:r>
          </w:p>
        </w:tc>
        <w:tc>
          <w:tcPr>
            <w:tcW w:w="7914" w:type="dxa"/>
            <w:noWrap w:val="0"/>
            <w:vAlign w:val="top"/>
          </w:tcPr>
          <w:p>
            <w:pPr>
              <w:keepNext w:val="0"/>
              <w:keepLines w:val="0"/>
              <w:pageBreakBefore w:val="0"/>
              <w:widowControl/>
              <w:suppressLineNumbers w:val="0"/>
              <w:kinsoku/>
              <w:wordWrap/>
              <w:overflowPunct/>
              <w:topLinePunct w:val="0"/>
              <w:bidi w:val="0"/>
              <w:spacing w:line="240" w:lineRule="auto"/>
              <w:jc w:val="left"/>
              <w:outlineLvl w:val="9"/>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lang w:val="en-US" w:eastAsia="zh-CN"/>
              </w:rPr>
              <w:t>供应商还需提供消毒粉产品的</w:t>
            </w:r>
            <w:r>
              <w:rPr>
                <w:rFonts w:hint="eastAsia" w:ascii="Times New Roman" w:hAnsi="Times New Roman" w:eastAsia="宋体" w:cs="Times New Roman"/>
                <w:b/>
                <w:bCs/>
                <w:color w:val="000000"/>
                <w:kern w:val="0"/>
                <w:sz w:val="21"/>
                <w:szCs w:val="21"/>
                <w:lang w:val="en-US" w:eastAsia="zh-CN"/>
              </w:rPr>
              <w:t>消毒产品卫生安全评价报告</w:t>
            </w:r>
            <w:r>
              <w:rPr>
                <w:rFonts w:hint="eastAsia" w:ascii="Times New Roman" w:hAnsi="Times New Roman" w:eastAsia="宋体" w:cs="Times New Roman"/>
                <w:color w:val="000000"/>
                <w:kern w:val="0"/>
                <w:sz w:val="21"/>
                <w:szCs w:val="21"/>
                <w:lang w:val="en-US" w:eastAsia="zh-CN"/>
              </w:rPr>
              <w:t>，报告需在有效期内。若消毒粉的检测报告与</w:t>
            </w:r>
            <w:r>
              <w:rPr>
                <w:rFonts w:hint="eastAsia" w:ascii="Times New Roman" w:hAnsi="Times New Roman" w:eastAsia="宋体" w:cs="Times New Roman"/>
                <w:b/>
                <w:bCs/>
                <w:color w:val="000000"/>
                <w:kern w:val="0"/>
                <w:sz w:val="21"/>
                <w:szCs w:val="21"/>
                <w:lang w:val="en-US" w:eastAsia="zh-CN"/>
              </w:rPr>
              <w:t>消毒产品卫生安全评价报告</w:t>
            </w:r>
            <w:r>
              <w:rPr>
                <w:rFonts w:hint="eastAsia" w:ascii="Times New Roman" w:hAnsi="Times New Roman" w:eastAsia="宋体" w:cs="Times New Roman"/>
                <w:color w:val="000000"/>
                <w:kern w:val="0"/>
                <w:sz w:val="21"/>
                <w:szCs w:val="21"/>
                <w:lang w:val="en-US" w:eastAsia="zh-CN"/>
              </w:rPr>
              <w:t>不同，以</w:t>
            </w:r>
            <w:r>
              <w:rPr>
                <w:rFonts w:hint="eastAsia" w:ascii="Times New Roman" w:hAnsi="Times New Roman" w:eastAsia="宋体" w:cs="Times New Roman"/>
                <w:b/>
                <w:bCs/>
                <w:color w:val="000000"/>
                <w:kern w:val="0"/>
                <w:sz w:val="21"/>
                <w:szCs w:val="21"/>
                <w:lang w:val="en-US" w:eastAsia="zh-CN"/>
              </w:rPr>
              <w:t>消毒产品卫生安全评价报告</w:t>
            </w:r>
            <w:r>
              <w:rPr>
                <w:rFonts w:hint="eastAsia" w:ascii="Times New Roman" w:hAnsi="Times New Roman" w:eastAsia="宋体" w:cs="Times New Roman"/>
                <w:color w:val="000000"/>
                <w:kern w:val="0"/>
                <w:sz w:val="21"/>
                <w:szCs w:val="21"/>
                <w:lang w:val="en-US" w:eastAsia="zh-CN"/>
              </w:rPr>
              <w:t>为准。</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969" w:type="dxa"/>
            <w:noWrap w:val="0"/>
            <w:vAlign w:val="top"/>
          </w:tcPr>
          <w:p>
            <w:pPr>
              <w:pageBreakBefore w:val="0"/>
              <w:widowControl/>
              <w:kinsoku/>
              <w:wordWrap/>
              <w:overflowPunct/>
              <w:topLinePunct w:val="0"/>
              <w:bidi w:val="0"/>
              <w:spacing w:line="240" w:lineRule="auto"/>
              <w:jc w:val="center"/>
              <w:outlineLvl w:val="9"/>
              <w:rPr>
                <w:rFonts w:hint="eastAsia" w:ascii="Times New Roman" w:hAnsi="宋体" w:eastAsia="宋体" w:cs="Times New Roman"/>
                <w:color w:val="000000"/>
                <w:kern w:val="0"/>
                <w:sz w:val="21"/>
                <w:szCs w:val="21"/>
              </w:rPr>
            </w:pPr>
            <w:r>
              <w:rPr>
                <w:rFonts w:hint="eastAsia" w:ascii="Times New Roman" w:hAnsi="宋体" w:eastAsia="宋体" w:cs="Times New Roman"/>
                <w:color w:val="000000"/>
                <w:kern w:val="0"/>
                <w:sz w:val="21"/>
                <w:szCs w:val="21"/>
              </w:rPr>
              <w:t>2.4</w:t>
            </w:r>
          </w:p>
        </w:tc>
        <w:tc>
          <w:tcPr>
            <w:tcW w:w="7914" w:type="dxa"/>
            <w:noWrap w:val="0"/>
            <w:vAlign w:val="top"/>
          </w:tcPr>
          <w:p>
            <w:pPr>
              <w:pageBreakBefore w:val="0"/>
              <w:widowControl/>
              <w:kinsoku/>
              <w:wordWrap/>
              <w:overflowPunct/>
              <w:topLinePunct w:val="0"/>
              <w:bidi w:val="0"/>
              <w:spacing w:line="240" w:lineRule="auto"/>
              <w:outlineLvl w:val="9"/>
              <w:rPr>
                <w:rFonts w:ascii="Times New Roman" w:hAnsi="Times New Roman" w:eastAsia="宋体" w:cs="Times New Roman"/>
                <w:color w:val="000000"/>
                <w:kern w:val="0"/>
                <w:sz w:val="21"/>
                <w:szCs w:val="21"/>
              </w:rPr>
            </w:pPr>
            <w:r>
              <w:rPr>
                <w:rFonts w:hint="eastAsia" w:ascii="Times New Roman" w:hAnsi="宋体" w:eastAsia="宋体" w:cs="宋体"/>
                <w:color w:val="000000"/>
                <w:kern w:val="0"/>
                <w:sz w:val="21"/>
                <w:szCs w:val="21"/>
              </w:rPr>
              <w:t>消毒粉用于污水处理</w:t>
            </w:r>
          </w:p>
        </w:tc>
      </w:tr>
    </w:tbl>
    <w:p>
      <w:pPr>
        <w:pageBreakBefore w:val="0"/>
        <w:kinsoku/>
        <w:wordWrap/>
        <w:overflowPunct/>
        <w:topLinePunct w:val="0"/>
        <w:bidi w:val="0"/>
        <w:spacing w:line="360" w:lineRule="auto"/>
        <w:ind w:firstLine="420"/>
        <w:outlineLvl w:val="9"/>
        <w:rPr>
          <w:rFonts w:hint="eastAsia" w:ascii="Century Gothic" w:hAnsi="Century Gothic" w:eastAsia="宋体" w:cs="Calibri"/>
          <w:b/>
          <w:bCs/>
          <w:kern w:val="2"/>
          <w:sz w:val="21"/>
          <w:szCs w:val="21"/>
          <w:lang w:bidi="ar"/>
        </w:rPr>
      </w:pPr>
      <w:r>
        <w:rPr>
          <w:rFonts w:hint="eastAsia" w:ascii="Century Gothic" w:hAnsi="Century Gothic" w:eastAsia="宋体" w:cs="Calibri"/>
          <w:b/>
          <w:bCs/>
          <w:kern w:val="2"/>
          <w:sz w:val="21"/>
          <w:szCs w:val="21"/>
          <w:lang w:bidi="ar"/>
        </w:rPr>
        <w:t>其中打“</w:t>
      </w:r>
      <w:r>
        <w:rPr>
          <w:rFonts w:hint="eastAsia" w:ascii="Century Gothic" w:hAnsi="Century Gothic" w:eastAsia="宋体" w:cs="Calibri"/>
          <w:b/>
          <w:bCs/>
          <w:kern w:val="2"/>
          <w:szCs w:val="21"/>
          <w:lang w:bidi="ar"/>
        </w:rPr>
        <w:t>▲</w:t>
      </w:r>
      <w:r>
        <w:rPr>
          <w:rFonts w:hint="eastAsia" w:ascii="Century Gothic" w:hAnsi="Century Gothic" w:eastAsia="宋体" w:cs="Calibri"/>
          <w:b/>
          <w:bCs/>
          <w:kern w:val="2"/>
          <w:sz w:val="21"/>
          <w:szCs w:val="21"/>
          <w:lang w:bidi="ar"/>
        </w:rPr>
        <w:t>”项要求不得偏离。</w:t>
      </w:r>
      <w:r>
        <w:rPr>
          <w:rFonts w:hint="eastAsia" w:ascii="Century Gothic" w:hAnsi="Century Gothic" w:eastAsia="宋体" w:cs="Calibri"/>
          <w:b/>
          <w:bCs/>
          <w:kern w:val="2"/>
          <w:sz w:val="21"/>
          <w:szCs w:val="21"/>
          <w:lang w:eastAsia="zh-CN" w:bidi="ar"/>
        </w:rPr>
        <w:t>中标后，</w:t>
      </w:r>
      <w:r>
        <w:rPr>
          <w:rFonts w:hint="eastAsia" w:ascii="Century Gothic" w:hAnsi="Century Gothic" w:eastAsia="宋体" w:cs="Calibri"/>
          <w:b/>
          <w:bCs/>
          <w:kern w:val="2"/>
          <w:sz w:val="21"/>
          <w:szCs w:val="21"/>
          <w:lang w:bidi="ar"/>
        </w:rPr>
        <w:t>中标单位还需提供的消毒粉检测报告原件</w:t>
      </w:r>
      <w:r>
        <w:rPr>
          <w:rFonts w:hint="eastAsia" w:ascii="Century Gothic" w:hAnsi="Century Gothic" w:eastAsia="宋体" w:cs="Calibri"/>
          <w:b/>
          <w:bCs/>
          <w:kern w:val="2"/>
          <w:sz w:val="21"/>
          <w:szCs w:val="21"/>
          <w:lang w:eastAsia="zh-CN" w:bidi="ar"/>
        </w:rPr>
        <w:t>备查</w:t>
      </w:r>
      <w:r>
        <w:rPr>
          <w:rFonts w:hint="eastAsia" w:ascii="Century Gothic" w:hAnsi="Century Gothic" w:eastAsia="宋体" w:cs="Calibri"/>
          <w:b/>
          <w:bCs/>
          <w:kern w:val="2"/>
          <w:sz w:val="21"/>
          <w:szCs w:val="21"/>
          <w:lang w:bidi="ar"/>
        </w:rPr>
        <w:t>，原件符合上述第</w:t>
      </w:r>
      <w:r>
        <w:rPr>
          <w:rFonts w:hint="default" w:ascii="Times New Roman" w:hAnsi="Times New Roman" w:eastAsia="宋体" w:cs="Times New Roman"/>
          <w:b/>
          <w:bCs/>
          <w:kern w:val="2"/>
          <w:sz w:val="21"/>
          <w:szCs w:val="21"/>
          <w:lang w:bidi="ar"/>
        </w:rPr>
        <w:t>2.1</w:t>
      </w:r>
      <w:r>
        <w:rPr>
          <w:rFonts w:hint="eastAsia" w:ascii="Century Gothic" w:hAnsi="Century Gothic" w:eastAsia="宋体" w:cs="Calibri"/>
          <w:b/>
          <w:bCs/>
          <w:kern w:val="2"/>
          <w:sz w:val="21"/>
          <w:szCs w:val="21"/>
          <w:lang w:bidi="ar"/>
        </w:rPr>
        <w:t>条。资料不符合要做废标处理，并追究相关法律责任。</w:t>
      </w:r>
    </w:p>
    <w:p>
      <w:pPr>
        <w:keepNext/>
        <w:pageBreakBefore w:val="0"/>
        <w:widowControl w:val="0"/>
        <w:kinsoku/>
        <w:wordWrap/>
        <w:overflowPunct/>
        <w:topLinePunct w:val="0"/>
        <w:bidi w:val="0"/>
        <w:spacing w:line="360" w:lineRule="auto"/>
        <w:jc w:val="both"/>
        <w:outlineLvl w:val="9"/>
        <w:rPr>
          <w:rFonts w:hint="default" w:ascii="Century Gothic" w:hAnsi="Century Gothic" w:eastAsia="宋体" w:cs="Calibri"/>
          <w:b/>
          <w:bCs/>
          <w:color w:val="auto"/>
          <w:kern w:val="2"/>
          <w:sz w:val="21"/>
          <w:szCs w:val="21"/>
          <w:lang w:val="en-US" w:eastAsia="zh-CN" w:bidi="ar"/>
        </w:rPr>
      </w:pPr>
      <w:r>
        <w:rPr>
          <w:rFonts w:hint="eastAsia" w:ascii="Century Gothic" w:hAnsi="Century Gothic" w:eastAsia="宋体" w:cs="Calibri"/>
          <w:b/>
          <w:bCs/>
          <w:color w:val="auto"/>
          <w:kern w:val="2"/>
          <w:sz w:val="21"/>
          <w:szCs w:val="21"/>
          <w:lang w:val="en-US" w:eastAsia="zh-CN" w:bidi="ar"/>
        </w:rPr>
        <w:t>三、商务要求</w:t>
      </w:r>
    </w:p>
    <w:p>
      <w:pPr>
        <w:pageBreakBefore w:val="0"/>
        <w:kinsoku/>
        <w:wordWrap/>
        <w:overflowPunct/>
        <w:topLinePunct w:val="0"/>
        <w:bidi w:val="0"/>
        <w:spacing w:line="360" w:lineRule="auto"/>
        <w:ind w:firstLine="420"/>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.交货期</w:t>
      </w:r>
      <w:r>
        <w:rPr>
          <w:rFonts w:hint="eastAsia" w:ascii="宋体" w:hAnsi="宋体" w:eastAsia="宋体" w:cs="宋体"/>
          <w:color w:val="auto"/>
          <w:szCs w:val="21"/>
          <w:highlight w:val="none"/>
          <w:lang w:eastAsia="zh-CN"/>
        </w:rPr>
        <w:t>及供应期限：</w:t>
      </w:r>
    </w:p>
    <w:p>
      <w:pPr>
        <w:pageBreakBefore w:val="0"/>
        <w:kinsoku/>
        <w:wordWrap/>
        <w:overflowPunct/>
        <w:topLinePunct w:val="0"/>
        <w:bidi w:val="0"/>
        <w:spacing w:line="360" w:lineRule="auto"/>
        <w:ind w:firstLine="42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）交货期</w:t>
      </w:r>
      <w:r>
        <w:rPr>
          <w:rFonts w:hint="eastAsia" w:ascii="宋体" w:hAnsi="宋体" w:eastAsia="宋体" w:cs="宋体"/>
          <w:color w:val="auto"/>
          <w:szCs w:val="21"/>
          <w:highlight w:val="none"/>
        </w:rPr>
        <w:t>：接到供货通知后3个工作日内保质保量完成产品的供货。</w:t>
      </w:r>
    </w:p>
    <w:p>
      <w:pPr>
        <w:pageBreakBefore w:val="0"/>
        <w:kinsoku/>
        <w:wordWrap/>
        <w:overflowPunct/>
        <w:topLinePunct w:val="0"/>
        <w:bidi w:val="0"/>
        <w:spacing w:line="360" w:lineRule="auto"/>
        <w:ind w:firstLine="420"/>
        <w:outlineLvl w:val="9"/>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（2）供应期限：自合同签订之日起1年（12个月）。如采购金额达到合同金额或合同期满，即视为合同完全履行完毕，双方的合同将自动终止。</w:t>
      </w:r>
    </w:p>
    <w:p>
      <w:pPr>
        <w:pageBreakBefore w:val="0"/>
        <w:kinsoku/>
        <w:wordWrap/>
        <w:overflowPunct/>
        <w:topLinePunct w:val="0"/>
        <w:bidi w:val="0"/>
        <w:spacing w:line="360" w:lineRule="auto"/>
        <w:ind w:firstLine="420"/>
        <w:outlineLvl w:val="9"/>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2</w:t>
      </w:r>
      <w:r>
        <w:rPr>
          <w:rFonts w:hint="eastAsia" w:ascii="Times New Roman" w:hAnsi="Times New Roman" w:eastAsia="宋体" w:cs="Times New Roman"/>
          <w:color w:val="auto"/>
          <w:highlight w:val="none"/>
        </w:rPr>
        <w:t>．报价</w:t>
      </w:r>
      <w:r>
        <w:rPr>
          <w:rFonts w:ascii="Times New Roman" w:hAnsi="Times New Roman" w:eastAsia="宋体" w:cs="Times New Roman"/>
          <w:color w:val="auto"/>
          <w:highlight w:val="none"/>
        </w:rPr>
        <w:t>要求：</w:t>
      </w:r>
    </w:p>
    <w:p>
      <w:pPr>
        <w:pageBreakBefore w:val="0"/>
        <w:kinsoku/>
        <w:wordWrap/>
        <w:overflowPunct/>
        <w:topLinePunct w:val="0"/>
        <w:bidi w:val="0"/>
        <w:adjustRightInd w:val="0"/>
        <w:snapToGrid w:val="0"/>
        <w:spacing w:line="360" w:lineRule="auto"/>
        <w:ind w:left="105" w:leftChars="50" w:firstLine="420" w:firstLineChars="200"/>
        <w:jc w:val="left"/>
        <w:outlineLvl w:val="9"/>
        <w:rPr>
          <w:rFonts w:ascii="宋体" w:hAnsi="宋体" w:eastAsia="宋体" w:cs="Times New Roman"/>
          <w:color w:val="auto"/>
          <w:szCs w:val="21"/>
          <w:highlight w:val="none"/>
        </w:rPr>
      </w:pPr>
      <w:r>
        <w:rPr>
          <w:rFonts w:hint="eastAsia" w:ascii="宋体" w:hAnsi="宋体" w:eastAsia="宋体" w:cs="Times New Roman"/>
          <w:snapToGrid w:val="0"/>
          <w:color w:val="auto"/>
          <w:kern w:val="0"/>
          <w:szCs w:val="21"/>
          <w:highlight w:val="none"/>
        </w:rPr>
        <w:t>本次报价方式报总价，提供分项价格。单价中应包含材料费、辅助材料费、制造、购置费、运输费、售后服务、质检费、验收费、税金和其它费用等。</w:t>
      </w:r>
      <w:r>
        <w:rPr>
          <w:rFonts w:hint="eastAsia" w:ascii="宋体" w:hAnsi="宋体" w:eastAsia="宋体" w:cs="Times New Roman"/>
          <w:color w:val="auto"/>
          <w:szCs w:val="21"/>
          <w:highlight w:val="none"/>
        </w:rPr>
        <w:t>总价=Σ（货物综合单价*货物数量）。</w:t>
      </w:r>
    </w:p>
    <w:p>
      <w:pPr>
        <w:keepNext/>
        <w:pageBreakBefore w:val="0"/>
        <w:widowControl w:val="0"/>
        <w:kinsoku/>
        <w:wordWrap/>
        <w:overflowPunct/>
        <w:topLinePunct w:val="0"/>
        <w:bidi w:val="0"/>
        <w:snapToGrid w:val="0"/>
        <w:spacing w:line="360" w:lineRule="auto"/>
        <w:ind w:firstLine="420" w:firstLineChars="200"/>
        <w:jc w:val="left"/>
        <w:outlineLvl w:val="9"/>
        <w:rPr>
          <w:rFonts w:ascii="宋体" w:hAnsi="宋体" w:eastAsia="宋体" w:cs="Times New Roman"/>
          <w:b w:val="0"/>
          <w:bCs/>
          <w:color w:val="auto"/>
          <w:kern w:val="0"/>
          <w:sz w:val="21"/>
          <w:szCs w:val="21"/>
          <w:highlight w:val="none"/>
          <w:lang w:val="en-US" w:eastAsia="zh-CN" w:bidi="ar-SA"/>
        </w:rPr>
      </w:pPr>
      <w:r>
        <w:rPr>
          <w:rFonts w:hint="eastAsia" w:ascii="宋体" w:hAnsi="宋体" w:eastAsia="宋体" w:cs="宋体"/>
          <w:b w:val="0"/>
          <w:color w:val="auto"/>
          <w:kern w:val="0"/>
          <w:sz w:val="21"/>
          <w:szCs w:val="21"/>
          <w:highlight w:val="none"/>
          <w:lang w:val="en-US" w:eastAsia="zh-CN" w:bidi="ar-SA"/>
        </w:rPr>
        <w:t>3.若投标人提供的货物与招标文件规定的不符，并存在以次充好的情况，其情节严重的招标人有权直接终止合同并追究投标人造成的损失及其责任。</w:t>
      </w:r>
    </w:p>
    <w:p>
      <w:pPr>
        <w:keepNext/>
        <w:pageBreakBefore w:val="0"/>
        <w:widowControl w:val="0"/>
        <w:kinsoku/>
        <w:wordWrap/>
        <w:overflowPunct/>
        <w:topLinePunct w:val="0"/>
        <w:bidi w:val="0"/>
        <w:snapToGrid w:val="0"/>
        <w:spacing w:line="360" w:lineRule="auto"/>
        <w:ind w:left="420" w:leftChars="200"/>
        <w:jc w:val="left"/>
        <w:outlineLvl w:val="9"/>
        <w:rPr>
          <w:rFonts w:ascii="宋体" w:hAnsi="宋体" w:eastAsia="宋体" w:cs="Times New Roman"/>
          <w:b w:val="0"/>
          <w:bCs/>
          <w:color w:val="auto"/>
          <w:kern w:val="0"/>
          <w:sz w:val="21"/>
          <w:szCs w:val="21"/>
          <w:highlight w:val="none"/>
          <w:lang w:val="en-US" w:eastAsia="zh-CN" w:bidi="ar-SA"/>
        </w:rPr>
      </w:pPr>
      <w:r>
        <w:rPr>
          <w:rFonts w:hint="eastAsia" w:ascii="宋体" w:hAnsi="宋体" w:eastAsia="宋体" w:cs="宋体"/>
          <w:b w:val="0"/>
          <w:color w:val="auto"/>
          <w:kern w:val="0"/>
          <w:sz w:val="21"/>
          <w:szCs w:val="21"/>
          <w:highlight w:val="none"/>
          <w:lang w:val="en-US" w:eastAsia="zh-CN" w:bidi="ar-SA"/>
        </w:rPr>
        <w:t>4.每批次供货均须提供出厂检验报告或其他质量证明文件。产品的各项要求必须符合国家现行最新的且已实施的相关标准和规范。</w:t>
      </w:r>
    </w:p>
    <w:p>
      <w:pPr>
        <w:keepNext/>
        <w:pageBreakBefore w:val="0"/>
        <w:widowControl w:val="0"/>
        <w:kinsoku/>
        <w:wordWrap/>
        <w:overflowPunct/>
        <w:topLinePunct w:val="0"/>
        <w:bidi w:val="0"/>
        <w:snapToGrid w:val="0"/>
        <w:spacing w:line="360" w:lineRule="auto"/>
        <w:ind w:left="420" w:leftChars="200"/>
        <w:jc w:val="left"/>
        <w:outlineLvl w:val="9"/>
        <w:rPr>
          <w:rFonts w:ascii="宋体" w:hAnsi="宋体" w:eastAsia="宋体" w:cs="Times New Roman"/>
          <w:b w:val="0"/>
          <w:bCs/>
          <w:color w:val="auto"/>
          <w:kern w:val="0"/>
          <w:sz w:val="21"/>
          <w:szCs w:val="21"/>
          <w:highlight w:val="none"/>
          <w:lang w:val="en-US" w:eastAsia="zh-CN" w:bidi="ar-SA"/>
        </w:rPr>
      </w:pPr>
      <w:r>
        <w:rPr>
          <w:rFonts w:hint="eastAsia" w:ascii="宋体" w:hAnsi="宋体" w:eastAsia="宋体" w:cs="宋体"/>
          <w:b w:val="0"/>
          <w:color w:val="auto"/>
          <w:kern w:val="0"/>
          <w:sz w:val="21"/>
          <w:szCs w:val="21"/>
          <w:highlight w:val="none"/>
          <w:lang w:val="en-US" w:eastAsia="zh-CN" w:bidi="ar-SA"/>
        </w:rPr>
        <w:t>5.中标人必须按有关规定和要求组织本次响应产品的生产、供货、运输、仓储、保管、配合验收、技术服务及售后服务，</w:t>
      </w:r>
      <w:r>
        <w:rPr>
          <w:rFonts w:hint="eastAsia" w:ascii="宋体" w:hAnsi="宋体" w:eastAsia="宋体" w:cs="宋体"/>
          <w:b w:val="0"/>
          <w:bCs/>
          <w:color w:val="auto"/>
          <w:kern w:val="0"/>
          <w:sz w:val="21"/>
          <w:szCs w:val="21"/>
          <w:highlight w:val="none"/>
          <w:lang w:val="en-US" w:eastAsia="zh-CN" w:bidi="ar-SA"/>
        </w:rPr>
        <w:t>承担相应的成本及风险。</w:t>
      </w:r>
      <w:r>
        <w:rPr>
          <w:rFonts w:hint="eastAsia" w:ascii="宋体" w:hAnsi="宋体" w:eastAsia="宋体" w:cs="宋体"/>
          <w:b w:val="0"/>
          <w:color w:val="auto"/>
          <w:kern w:val="0"/>
          <w:sz w:val="21"/>
          <w:szCs w:val="21"/>
          <w:highlight w:val="none"/>
          <w:lang w:val="en-US" w:eastAsia="zh-CN" w:bidi="ar-SA"/>
        </w:rPr>
        <w:t>合同实施过程中的各种意外，其责任由中标供应商承担，招标人不承担任何责任。</w:t>
      </w:r>
    </w:p>
    <w:p>
      <w:pPr>
        <w:keepNext/>
        <w:pageBreakBefore w:val="0"/>
        <w:widowControl w:val="0"/>
        <w:kinsoku/>
        <w:wordWrap/>
        <w:overflowPunct/>
        <w:topLinePunct w:val="0"/>
        <w:bidi w:val="0"/>
        <w:snapToGrid w:val="0"/>
        <w:spacing w:line="360" w:lineRule="auto"/>
        <w:ind w:left="420" w:leftChars="200"/>
        <w:jc w:val="left"/>
        <w:outlineLvl w:val="9"/>
        <w:rPr>
          <w:rFonts w:ascii="宋体" w:hAnsi="宋体" w:eastAsia="宋体" w:cs="Times New Roman"/>
          <w:b w:val="0"/>
          <w:bCs/>
          <w:color w:val="auto"/>
          <w:kern w:val="0"/>
          <w:sz w:val="21"/>
          <w:szCs w:val="21"/>
          <w:highlight w:val="none"/>
          <w:lang w:val="en-US" w:eastAsia="zh-CN" w:bidi="ar-SA"/>
        </w:rPr>
      </w:pPr>
      <w:r>
        <w:rPr>
          <w:rFonts w:hint="eastAsia" w:ascii="宋体" w:hAnsi="宋体" w:eastAsia="宋体" w:cs="宋体"/>
          <w:b w:val="0"/>
          <w:color w:val="auto"/>
          <w:kern w:val="0"/>
          <w:sz w:val="21"/>
          <w:szCs w:val="21"/>
          <w:highlight w:val="none"/>
          <w:lang w:val="en-US" w:eastAsia="zh-CN" w:bidi="ar-SA"/>
        </w:rPr>
        <w:t>6.售后服务：</w:t>
      </w:r>
    </w:p>
    <w:p>
      <w:pPr>
        <w:keepNext/>
        <w:pageBreakBefore w:val="0"/>
        <w:widowControl w:val="0"/>
        <w:kinsoku/>
        <w:wordWrap/>
        <w:overflowPunct/>
        <w:topLinePunct w:val="0"/>
        <w:bidi w:val="0"/>
        <w:snapToGrid w:val="0"/>
        <w:spacing w:line="360" w:lineRule="auto"/>
        <w:ind w:firstLine="420" w:firstLineChars="200"/>
        <w:jc w:val="left"/>
        <w:outlineLvl w:val="9"/>
        <w:rPr>
          <w:rFonts w:hint="eastAsia" w:ascii="宋体" w:hAnsi="宋体" w:eastAsia="宋体" w:cs="宋体"/>
          <w:b w:val="0"/>
          <w:color w:val="auto"/>
          <w:kern w:val="0"/>
          <w:sz w:val="21"/>
          <w:szCs w:val="21"/>
          <w:highlight w:val="none"/>
          <w:lang w:val="en-US" w:eastAsia="zh-CN" w:bidi="ar-SA"/>
        </w:rPr>
      </w:pPr>
      <w:r>
        <w:rPr>
          <w:rFonts w:hint="eastAsia" w:ascii="宋体" w:hAnsi="宋体" w:eastAsia="宋体" w:cs="宋体"/>
          <w:b w:val="0"/>
          <w:color w:val="auto"/>
          <w:kern w:val="0"/>
          <w:sz w:val="21"/>
          <w:szCs w:val="21"/>
          <w:highlight w:val="none"/>
          <w:lang w:val="en-US" w:eastAsia="zh-CN" w:bidi="ar-SA"/>
        </w:rPr>
        <w:t>6</w:t>
      </w:r>
      <w:r>
        <w:rPr>
          <w:rFonts w:ascii="宋体" w:hAnsi="宋体" w:eastAsia="宋体" w:cs="宋体"/>
          <w:b w:val="0"/>
          <w:color w:val="auto"/>
          <w:kern w:val="0"/>
          <w:sz w:val="21"/>
          <w:szCs w:val="21"/>
          <w:highlight w:val="none"/>
          <w:lang w:val="en-US" w:eastAsia="zh-CN" w:bidi="ar-SA"/>
        </w:rPr>
        <w:t>.1</w:t>
      </w:r>
      <w:r>
        <w:rPr>
          <w:rFonts w:hint="eastAsia" w:ascii="宋体" w:hAnsi="宋体" w:eastAsia="宋体" w:cs="宋体"/>
          <w:b w:val="0"/>
          <w:color w:val="auto"/>
          <w:kern w:val="0"/>
          <w:sz w:val="21"/>
          <w:szCs w:val="21"/>
          <w:highlight w:val="none"/>
          <w:lang w:val="en-US" w:eastAsia="zh-CN" w:bidi="ar-SA"/>
        </w:rPr>
        <w:t>中标人需在</w:t>
      </w:r>
      <w:r>
        <w:rPr>
          <w:rFonts w:ascii="宋体" w:hAnsi="宋体" w:eastAsia="宋体" w:cs="宋体"/>
          <w:b w:val="0"/>
          <w:color w:val="auto"/>
          <w:kern w:val="0"/>
          <w:sz w:val="21"/>
          <w:szCs w:val="21"/>
          <w:highlight w:val="none"/>
          <w:lang w:val="en-US" w:eastAsia="zh-CN" w:bidi="ar-SA"/>
        </w:rPr>
        <w:t>12</w:t>
      </w:r>
      <w:r>
        <w:rPr>
          <w:rFonts w:hint="eastAsia" w:ascii="宋体" w:hAnsi="宋体" w:eastAsia="宋体" w:cs="宋体"/>
          <w:b w:val="0"/>
          <w:color w:val="auto"/>
          <w:kern w:val="0"/>
          <w:sz w:val="21"/>
          <w:szCs w:val="21"/>
          <w:highlight w:val="none"/>
          <w:lang w:val="en-US" w:eastAsia="zh-CN" w:bidi="ar-SA"/>
        </w:rPr>
        <w:t>小时内响应，</w:t>
      </w:r>
      <w:r>
        <w:rPr>
          <w:rFonts w:ascii="宋体" w:hAnsi="宋体" w:eastAsia="宋体" w:cs="宋体"/>
          <w:b w:val="0"/>
          <w:color w:val="auto"/>
          <w:kern w:val="0"/>
          <w:sz w:val="21"/>
          <w:szCs w:val="21"/>
          <w:highlight w:val="none"/>
          <w:lang w:val="en-US" w:eastAsia="zh-CN" w:bidi="ar-SA"/>
        </w:rPr>
        <w:t>24</w:t>
      </w:r>
      <w:r>
        <w:rPr>
          <w:rFonts w:hint="eastAsia" w:ascii="宋体" w:hAnsi="宋体" w:eastAsia="宋体" w:cs="宋体"/>
          <w:b w:val="0"/>
          <w:color w:val="auto"/>
          <w:kern w:val="0"/>
          <w:sz w:val="21"/>
          <w:szCs w:val="21"/>
          <w:highlight w:val="none"/>
          <w:lang w:val="en-US" w:eastAsia="zh-CN" w:bidi="ar-SA"/>
        </w:rPr>
        <w:t>小时解决问题和采购人提出的合理要求，在投标书中请提供详细的售后服务承诺书。</w:t>
      </w:r>
    </w:p>
    <w:p>
      <w:pPr>
        <w:pageBreakBefore w:val="0"/>
        <w:kinsoku/>
        <w:wordWrap/>
        <w:overflowPunct/>
        <w:topLinePunct w:val="0"/>
        <w:bidi w:val="0"/>
        <w:spacing w:line="360" w:lineRule="auto"/>
        <w:ind w:firstLine="420" w:firstLineChars="20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.验收</w:t>
      </w:r>
    </w:p>
    <w:p>
      <w:pPr>
        <w:pageBreakBefore w:val="0"/>
        <w:kinsoku/>
        <w:wordWrap/>
        <w:overflowPunct/>
        <w:topLinePunct w:val="0"/>
        <w:bidi w:val="0"/>
        <w:spacing w:line="360" w:lineRule="auto"/>
        <w:ind w:firstLine="420" w:firstLineChars="20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采购人</w:t>
      </w:r>
      <w:r>
        <w:rPr>
          <w:rFonts w:hint="eastAsia" w:ascii="宋体" w:hAnsi="宋体" w:eastAsia="宋体" w:cs="宋体"/>
          <w:color w:val="auto"/>
          <w:kern w:val="0"/>
          <w:szCs w:val="21"/>
          <w:highlight w:val="none"/>
        </w:rPr>
        <w:t>人如有必要可以随机对提供的货物进行实样抽检，指定第三方检测机构进行检测，并提供检测报告，检测费用由中标人承担，检测不合格视为验收不合格。验收中发现货物达不到验收标准或合同规定的性能指标，中标人必须无条件的重新生产满足本次采购需求的货物，并且承担由此给用户造成的损失。</w:t>
      </w:r>
    </w:p>
    <w:p>
      <w:pPr>
        <w:keepNext/>
        <w:pageBreakBefore w:val="0"/>
        <w:widowControl w:val="0"/>
        <w:kinsoku/>
        <w:wordWrap/>
        <w:overflowPunct/>
        <w:topLinePunct w:val="0"/>
        <w:bidi w:val="0"/>
        <w:snapToGrid w:val="0"/>
        <w:spacing w:line="360" w:lineRule="auto"/>
        <w:ind w:firstLine="420" w:firstLineChars="200"/>
        <w:jc w:val="left"/>
        <w:outlineLvl w:val="9"/>
        <w:rPr>
          <w:rFonts w:ascii="宋体" w:hAnsi="宋体" w:eastAsia="宋体" w:cs="Times New Roman"/>
          <w:b w:val="0"/>
          <w:bCs/>
          <w:color w:val="auto"/>
          <w:kern w:val="0"/>
          <w:sz w:val="21"/>
          <w:szCs w:val="21"/>
          <w:highlight w:val="none"/>
          <w:lang w:val="en-US" w:eastAsia="zh-CN" w:bidi="ar-SA"/>
        </w:rPr>
      </w:pPr>
      <w:r>
        <w:rPr>
          <w:rFonts w:hint="eastAsia" w:ascii="宋体" w:hAnsi="宋体" w:eastAsia="宋体" w:cs="宋体"/>
          <w:b w:val="0"/>
          <w:color w:val="auto"/>
          <w:kern w:val="0"/>
          <w:sz w:val="21"/>
          <w:szCs w:val="21"/>
          <w:highlight w:val="none"/>
          <w:lang w:val="en-US" w:eastAsia="zh-CN" w:bidi="ar-SA"/>
        </w:rPr>
        <w:t>7.2验收费用由产品中标人负担。</w:t>
      </w:r>
    </w:p>
    <w:p>
      <w:pPr>
        <w:keepNext/>
        <w:pageBreakBefore w:val="0"/>
        <w:widowControl w:val="0"/>
        <w:kinsoku/>
        <w:wordWrap/>
        <w:overflowPunct/>
        <w:topLinePunct w:val="0"/>
        <w:bidi w:val="0"/>
        <w:snapToGrid w:val="0"/>
        <w:spacing w:line="360" w:lineRule="auto"/>
        <w:ind w:left="420" w:leftChars="200"/>
        <w:jc w:val="left"/>
        <w:outlineLvl w:val="9"/>
        <w:rPr>
          <w:rFonts w:hint="eastAsia" w:ascii="宋体" w:hAnsi="宋体" w:eastAsia="宋体" w:cs="宋体"/>
          <w:b w:val="0"/>
          <w:color w:val="auto"/>
          <w:kern w:val="0"/>
          <w:sz w:val="21"/>
          <w:szCs w:val="21"/>
          <w:highlight w:val="none"/>
          <w:lang w:val="en-US" w:eastAsia="zh-CN" w:bidi="ar-SA"/>
        </w:rPr>
      </w:pPr>
      <w:r>
        <w:rPr>
          <w:rFonts w:hint="eastAsia" w:ascii="宋体" w:hAnsi="宋体" w:eastAsia="宋体" w:cs="宋体"/>
          <w:b w:val="0"/>
          <w:color w:val="auto"/>
          <w:kern w:val="0"/>
          <w:sz w:val="21"/>
          <w:szCs w:val="21"/>
          <w:highlight w:val="none"/>
          <w:lang w:val="en-US" w:eastAsia="zh-CN" w:bidi="ar-SA"/>
        </w:rPr>
        <w:t>8.供应商须提供加盖供应商公章的消毒粉成分中不含易制毒化学品的承诺函原件。</w:t>
      </w:r>
    </w:p>
    <w:p>
      <w:pPr>
        <w:pageBreakBefore w:val="0"/>
        <w:tabs>
          <w:tab w:val="left" w:pos="540"/>
        </w:tabs>
        <w:kinsoku/>
        <w:wordWrap/>
        <w:overflowPunct/>
        <w:topLinePunct w:val="0"/>
        <w:autoSpaceDE w:val="0"/>
        <w:autoSpaceDN w:val="0"/>
        <w:bidi w:val="0"/>
        <w:adjustRightInd w:val="0"/>
        <w:snapToGrid w:val="0"/>
        <w:spacing w:line="360" w:lineRule="auto"/>
        <w:ind w:firstLine="420" w:firstLineChars="200"/>
        <w:jc w:val="left"/>
        <w:textAlignment w:val="baseline"/>
        <w:outlineLvl w:val="9"/>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lang w:val="en-US" w:eastAsia="zh-CN"/>
        </w:rPr>
        <w:t>9</w:t>
      </w:r>
      <w:r>
        <w:rPr>
          <w:rFonts w:hint="eastAsia" w:ascii="宋体" w:hAnsi="宋体" w:eastAsia="宋体" w:cs="Times New Roman"/>
          <w:bCs/>
          <w:color w:val="auto"/>
          <w:szCs w:val="21"/>
          <w:highlight w:val="none"/>
        </w:rPr>
        <w:t>质量保证</w:t>
      </w:r>
    </w:p>
    <w:p>
      <w:pPr>
        <w:pageBreakBefore w:val="0"/>
        <w:kinsoku/>
        <w:wordWrap/>
        <w:overflowPunct/>
        <w:topLinePunct w:val="0"/>
        <w:bidi w:val="0"/>
        <w:snapToGrid w:val="0"/>
        <w:spacing w:line="360" w:lineRule="auto"/>
        <w:ind w:firstLine="420" w:firstLineChars="20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9.</w:t>
      </w:r>
      <w:r>
        <w:rPr>
          <w:rFonts w:hint="eastAsia" w:ascii="宋体" w:hAnsi="宋体" w:eastAsia="宋体" w:cs="宋体"/>
          <w:color w:val="auto"/>
          <w:kern w:val="0"/>
          <w:szCs w:val="21"/>
          <w:highlight w:val="none"/>
        </w:rPr>
        <w:t>1.中标人所提供的货物应保证是全新的、未使用过的，是原包装未拆封的，是用合格的工艺和材料制造而成的，并完全符合协议规定的质量、规格和性能要求，并随货提供质检报告单。中标人应保证所提供的货物经正确使用，在其使用寿命期内应具有使采购人满意的性能，并且确保一次性通过各项检验和测试。在货物质量保证期内，中标人应对由于设计、工艺、材料和配套件的缺陷所产生的任何不足或故障负责。</w:t>
      </w:r>
    </w:p>
    <w:p>
      <w:pPr>
        <w:pageBreakBefore w:val="0"/>
        <w:kinsoku/>
        <w:wordWrap/>
        <w:overflowPunct/>
        <w:topLinePunct w:val="0"/>
        <w:bidi w:val="0"/>
        <w:snapToGrid w:val="0"/>
        <w:spacing w:line="360" w:lineRule="auto"/>
        <w:ind w:firstLine="420" w:firstLineChars="20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9.</w:t>
      </w:r>
      <w:r>
        <w:rPr>
          <w:rFonts w:hint="eastAsia" w:ascii="宋体" w:hAnsi="宋体" w:eastAsia="宋体" w:cs="宋体"/>
          <w:color w:val="auto"/>
          <w:kern w:val="0"/>
          <w:szCs w:val="21"/>
          <w:highlight w:val="none"/>
        </w:rPr>
        <w:t>2.如果货物的数量、质量或规格与协议不符，或证实货物是有缺陷的，包括潜在的缺陷或使用不符合要求的材料等，采购人应尽快以书面形式通知中标人，提出索赔。中标人在收到通知后，应在规定期限内，用与投标时采用的零件、部件或材料来更换有缺陷的或不符合要求的零件、部件或材料，同时相应延长质量保证期。</w:t>
      </w:r>
    </w:p>
    <w:p>
      <w:pPr>
        <w:jc w:val="center"/>
        <w:rPr>
          <w:rFonts w:hint="eastAsia" w:ascii="Times New Roman" w:hAnsi="Times New Roman" w:eastAsia="宋体" w:cs="Times New Roman"/>
          <w:b/>
          <w:bCs/>
          <w:sz w:val="28"/>
          <w:szCs w:val="28"/>
          <w:highlight w:val="none"/>
          <w:lang w:val="en-US" w:eastAsia="zh-CN"/>
        </w:rPr>
      </w:pPr>
      <w:r>
        <w:rPr>
          <w:rFonts w:hint="eastAsia" w:ascii="Times New Roman" w:hAnsi="Times New Roman" w:eastAsia="宋体" w:cs="Times New Roman"/>
          <w:b/>
          <w:bCs/>
          <w:sz w:val="28"/>
          <w:szCs w:val="28"/>
          <w:highlight w:val="none"/>
          <w:lang w:val="en-US" w:eastAsia="zh-CN"/>
        </w:rPr>
        <w:t>评标办法</w:t>
      </w:r>
    </w:p>
    <w:p>
      <w:pPr>
        <w:pStyle w:val="2"/>
        <w:rPr>
          <w:rFonts w:hint="default"/>
          <w:lang w:val="en-US" w:eastAsia="zh-CN"/>
        </w:rPr>
      </w:pPr>
      <w:r>
        <w:rPr>
          <w:rFonts w:hint="default"/>
          <w:lang w:val="en-US" w:eastAsia="zh-CN"/>
        </w:rPr>
        <w:t>一、总则</w:t>
      </w:r>
    </w:p>
    <w:p>
      <w:pPr>
        <w:pStyle w:val="2"/>
        <w:rPr>
          <w:rFonts w:hint="default"/>
          <w:lang w:val="en-US" w:eastAsia="zh-CN"/>
        </w:rPr>
      </w:pPr>
      <w:r>
        <w:rPr>
          <w:rFonts w:hint="default"/>
          <w:lang w:val="en-US" w:eastAsia="zh-CN"/>
        </w:rPr>
        <w:t>本次评标采用综合评分法，总分为100分，其中价格分70分、商务技术分30分。合格投标人的评标得分为各项目汇总得分，中标候选资格按评标得分由高到低顺序排列；得分相同的，优先采购中小企业产品；均相同的，投标报价由低到高顺序排列。评分过程中采用四舍五入法，并保留小数2位。中标候选人数量：1名。评标委员会推荐综合得分总分最高的投标人为中标候选人。采购人或经授权的评审小组确定排名第一中标候选人为中标人。</w:t>
      </w:r>
    </w:p>
    <w:p>
      <w:pPr>
        <w:pStyle w:val="2"/>
        <w:rPr>
          <w:rFonts w:hint="default"/>
          <w:lang w:val="en-US" w:eastAsia="zh-CN"/>
        </w:rPr>
      </w:pPr>
      <w:r>
        <w:rPr>
          <w:rFonts w:hint="default"/>
          <w:lang w:val="en-US" w:eastAsia="zh-CN"/>
        </w:rPr>
        <w:t>商务技术分=评标委员会所有成员评分合计数/评标委员会组成人员数</w:t>
      </w:r>
    </w:p>
    <w:p>
      <w:pPr>
        <w:pStyle w:val="2"/>
        <w:rPr>
          <w:rFonts w:hint="default"/>
          <w:lang w:val="en-US" w:eastAsia="zh-CN"/>
        </w:rPr>
      </w:pPr>
      <w:r>
        <w:rPr>
          <w:rFonts w:hint="default"/>
          <w:lang w:val="en-US" w:eastAsia="zh-CN"/>
        </w:rPr>
        <w:t>投标人评标综合得分=价格分+商务技术分</w:t>
      </w:r>
    </w:p>
    <w:p>
      <w:pPr>
        <w:pStyle w:val="2"/>
        <w:rPr>
          <w:rFonts w:hint="default"/>
          <w:lang w:val="en-US" w:eastAsia="zh-CN"/>
        </w:rPr>
      </w:pPr>
      <w:r>
        <w:rPr>
          <w:rFonts w:hint="default"/>
          <w:lang w:val="en-US" w:eastAsia="zh-CN"/>
        </w:rPr>
        <w:t>二、资格审查</w:t>
      </w:r>
    </w:p>
    <w:p>
      <w:pPr>
        <w:pStyle w:val="2"/>
        <w:rPr>
          <w:rFonts w:hint="default"/>
          <w:lang w:val="en-US" w:eastAsia="zh-CN"/>
        </w:rPr>
      </w:pPr>
      <w:r>
        <w:rPr>
          <w:rFonts w:hint="default"/>
          <w:lang w:val="en-US" w:eastAsia="zh-CN"/>
        </w:rPr>
        <w:t>招标人或者招标代理机构对各投标人的资格进行审查，投标人资格条件不符合招标文件要求的投标无效，不再进入符合性审查。</w:t>
      </w:r>
    </w:p>
    <w:p>
      <w:pPr>
        <w:pStyle w:val="2"/>
        <w:rPr>
          <w:rFonts w:hint="default"/>
          <w:lang w:val="en-US" w:eastAsia="zh-CN"/>
        </w:rPr>
      </w:pPr>
      <w:r>
        <w:rPr>
          <w:rFonts w:hint="default"/>
          <w:lang w:val="en-US" w:eastAsia="zh-CN"/>
        </w:rPr>
        <w:t>三、符合性审查</w:t>
      </w:r>
    </w:p>
    <w:p>
      <w:pPr>
        <w:pStyle w:val="2"/>
        <w:rPr>
          <w:rFonts w:hint="default"/>
          <w:lang w:val="en-US" w:eastAsia="zh-CN"/>
        </w:rPr>
      </w:pPr>
      <w:r>
        <w:rPr>
          <w:rFonts w:hint="default"/>
          <w:lang w:val="en-US" w:eastAsia="zh-CN"/>
        </w:rPr>
        <w:t>评标委员会对资格审查合格的投标文件进行符合性审查，确定是否对招标文件作出了实质性响应。符合性审查不合格的投标无效，不再进行商务和技术评估、综合比较与评价。投标人不得通过修正或撤消不合要求的偏离或保留从而使其投标成为有效投标，但经评标委员会认定属于投标人疏忽、笔误所造成的差错，应当允许其在评标结束之前进行修改或者补正（可以是复印件、传真件等）。限期内不补正或经补正后仍不符合招标文件要求的，应认定其投标无效。</w:t>
      </w:r>
    </w:p>
    <w:p>
      <w:pPr>
        <w:pStyle w:val="2"/>
        <w:rPr>
          <w:rFonts w:hint="default"/>
          <w:lang w:val="en-US" w:eastAsia="zh-CN"/>
        </w:rPr>
      </w:pPr>
      <w:r>
        <w:rPr>
          <w:rFonts w:hint="default"/>
          <w:lang w:val="en-US" w:eastAsia="zh-CN"/>
        </w:rPr>
        <w:t>▲1、在商务、技术评审时，存在下列情形之一的，投标无效：</w:t>
      </w:r>
    </w:p>
    <w:p>
      <w:pPr>
        <w:pStyle w:val="2"/>
        <w:rPr>
          <w:rFonts w:hint="default"/>
          <w:lang w:val="en-US" w:eastAsia="zh-CN"/>
        </w:rPr>
      </w:pPr>
      <w:r>
        <w:rPr>
          <w:rFonts w:hint="default"/>
          <w:lang w:val="en-US" w:eastAsia="zh-CN"/>
        </w:rPr>
        <w:t>（1）单位负责人为同一人或者存在直接控股、管理关系的不同供应商，同时参加同一合同项下投标的。</w:t>
      </w:r>
    </w:p>
    <w:p>
      <w:pPr>
        <w:pStyle w:val="2"/>
        <w:rPr>
          <w:rFonts w:hint="default"/>
          <w:lang w:val="en-US" w:eastAsia="zh-CN"/>
        </w:rPr>
      </w:pPr>
      <w:r>
        <w:rPr>
          <w:rFonts w:hint="default"/>
          <w:lang w:val="en-US" w:eastAsia="zh-CN"/>
        </w:rPr>
        <w:t>（2）为项目提供整体设计、规范编制或者项目管理、监理、检测等服务的供应商，再参加本采购项目的其他采购活动的。</w:t>
      </w:r>
    </w:p>
    <w:p>
      <w:pPr>
        <w:pStyle w:val="2"/>
        <w:rPr>
          <w:rFonts w:hint="default"/>
          <w:lang w:val="en-US" w:eastAsia="zh-CN"/>
        </w:rPr>
      </w:pPr>
      <w:r>
        <w:rPr>
          <w:rFonts w:hint="default"/>
          <w:lang w:val="en-US" w:eastAsia="zh-CN"/>
        </w:rPr>
        <w:t>（3）投标文件未按招标文件要求签章的；</w:t>
      </w:r>
    </w:p>
    <w:p>
      <w:pPr>
        <w:pStyle w:val="2"/>
        <w:rPr>
          <w:rFonts w:hint="default"/>
          <w:lang w:val="en-US" w:eastAsia="zh-CN"/>
        </w:rPr>
      </w:pPr>
      <w:r>
        <w:rPr>
          <w:rFonts w:hint="default"/>
          <w:lang w:val="en-US" w:eastAsia="zh-CN"/>
        </w:rPr>
        <w:t>（4）未提供投标声明书或声明内容填写项目不齐全的；</w:t>
      </w:r>
    </w:p>
    <w:p>
      <w:pPr>
        <w:pStyle w:val="2"/>
        <w:rPr>
          <w:rFonts w:hint="default"/>
          <w:lang w:val="en-US" w:eastAsia="zh-CN"/>
        </w:rPr>
      </w:pPr>
      <w:r>
        <w:rPr>
          <w:rFonts w:hint="default"/>
          <w:lang w:val="en-US" w:eastAsia="zh-CN"/>
        </w:rPr>
        <w:t>（5）投标有效期不足的；</w:t>
      </w:r>
    </w:p>
    <w:p>
      <w:pPr>
        <w:pStyle w:val="2"/>
        <w:rPr>
          <w:rFonts w:hint="default"/>
          <w:lang w:val="en-US" w:eastAsia="zh-CN"/>
        </w:rPr>
      </w:pPr>
      <w:r>
        <w:rPr>
          <w:rFonts w:hint="default"/>
          <w:lang w:val="en-US" w:eastAsia="zh-CN"/>
        </w:rPr>
        <w:t>（6）未响应招标文件标注“▲”的条款的或一般技术商务条款偏离＞5条的；</w:t>
      </w:r>
    </w:p>
    <w:p>
      <w:pPr>
        <w:pStyle w:val="2"/>
        <w:rPr>
          <w:rFonts w:hint="default"/>
          <w:lang w:val="en-US" w:eastAsia="zh-CN"/>
        </w:rPr>
      </w:pPr>
      <w:r>
        <w:rPr>
          <w:rFonts w:hint="default"/>
          <w:lang w:val="en-US" w:eastAsia="zh-CN"/>
        </w:rPr>
        <w:t>（7）未提供或未如实提供投标货物的技术参数，或者投标文件标明的商务、技术响应与事实不符或虚假投标的；</w:t>
      </w:r>
    </w:p>
    <w:p>
      <w:pPr>
        <w:pStyle w:val="2"/>
        <w:rPr>
          <w:rFonts w:hint="default"/>
          <w:lang w:val="en-US" w:eastAsia="zh-CN"/>
        </w:rPr>
      </w:pPr>
      <w:r>
        <w:rPr>
          <w:rFonts w:hint="default"/>
          <w:lang w:val="en-US" w:eastAsia="zh-CN"/>
        </w:rPr>
        <w:t>（8）投标技术方案不明确，存在一个或一个以上备选（替代）投标方案的；</w:t>
      </w:r>
    </w:p>
    <w:p>
      <w:pPr>
        <w:pStyle w:val="2"/>
        <w:rPr>
          <w:rFonts w:hint="default"/>
          <w:lang w:val="en-US" w:eastAsia="zh-CN"/>
        </w:rPr>
      </w:pPr>
      <w:r>
        <w:rPr>
          <w:rFonts w:hint="default"/>
          <w:lang w:val="en-US" w:eastAsia="zh-CN"/>
        </w:rPr>
        <w:t xml:space="preserve">（9）投标文件有招标方不能接受的附加条件的； </w:t>
      </w:r>
    </w:p>
    <w:p>
      <w:pPr>
        <w:pStyle w:val="2"/>
        <w:rPr>
          <w:rFonts w:hint="default"/>
          <w:lang w:val="en-US" w:eastAsia="zh-CN"/>
        </w:rPr>
      </w:pPr>
      <w:r>
        <w:rPr>
          <w:rFonts w:hint="default"/>
          <w:lang w:val="en-US" w:eastAsia="zh-CN"/>
        </w:rPr>
        <w:t>（10）参加采购活动前3年内在经营活动中有重大违法记录的；</w:t>
      </w:r>
    </w:p>
    <w:p>
      <w:pPr>
        <w:pStyle w:val="2"/>
        <w:rPr>
          <w:rFonts w:hint="default"/>
          <w:lang w:val="en-US" w:eastAsia="zh-CN"/>
        </w:rPr>
      </w:pPr>
      <w:r>
        <w:rPr>
          <w:rFonts w:hint="default"/>
          <w:lang w:val="en-US" w:eastAsia="zh-CN"/>
        </w:rPr>
        <w:t>（11）不同投标人的投标文件由同一单位或者个人编制的；</w:t>
      </w:r>
    </w:p>
    <w:p>
      <w:pPr>
        <w:pStyle w:val="2"/>
        <w:rPr>
          <w:rFonts w:hint="default"/>
          <w:lang w:val="en-US" w:eastAsia="zh-CN"/>
        </w:rPr>
      </w:pPr>
      <w:r>
        <w:rPr>
          <w:rFonts w:hint="default"/>
          <w:lang w:val="en-US" w:eastAsia="zh-CN"/>
        </w:rPr>
        <w:t>（12）不同投标人委托同一单位或者个人办理投标事宜的；</w:t>
      </w:r>
    </w:p>
    <w:p>
      <w:pPr>
        <w:pStyle w:val="2"/>
        <w:rPr>
          <w:rFonts w:hint="default"/>
          <w:lang w:val="en-US" w:eastAsia="zh-CN"/>
        </w:rPr>
      </w:pPr>
      <w:r>
        <w:rPr>
          <w:rFonts w:hint="default"/>
          <w:lang w:val="en-US" w:eastAsia="zh-CN"/>
        </w:rPr>
        <w:t>（13）不同投标人的投标文件载明的项目管理成员或者联系人员为同一人的；</w:t>
      </w:r>
    </w:p>
    <w:p>
      <w:pPr>
        <w:pStyle w:val="2"/>
        <w:rPr>
          <w:rFonts w:hint="default"/>
          <w:lang w:val="en-US" w:eastAsia="zh-CN"/>
        </w:rPr>
      </w:pPr>
      <w:r>
        <w:rPr>
          <w:rFonts w:hint="default"/>
          <w:lang w:val="en-US" w:eastAsia="zh-CN"/>
        </w:rPr>
        <w:t>（14）不同投标人的投标文件异常一致或者投标报价呈规律性差异的；</w:t>
      </w:r>
    </w:p>
    <w:p>
      <w:pPr>
        <w:pStyle w:val="2"/>
        <w:rPr>
          <w:rFonts w:hint="default"/>
          <w:lang w:val="en-US" w:eastAsia="zh-CN"/>
        </w:rPr>
      </w:pPr>
      <w:r>
        <w:rPr>
          <w:rFonts w:hint="default"/>
          <w:lang w:val="en-US" w:eastAsia="zh-CN"/>
        </w:rPr>
        <w:t>（15）不同投标人的投标文件相互混装的；</w:t>
      </w:r>
    </w:p>
    <w:p>
      <w:pPr>
        <w:pStyle w:val="2"/>
        <w:rPr>
          <w:rFonts w:hint="default"/>
          <w:lang w:val="en-US" w:eastAsia="zh-CN"/>
        </w:rPr>
      </w:pPr>
      <w:r>
        <w:rPr>
          <w:rFonts w:hint="default"/>
          <w:lang w:val="en-US" w:eastAsia="zh-CN"/>
        </w:rPr>
        <w:t>（16）存在法律、法规、规章规定的其它无效投标情况的。</w:t>
      </w:r>
    </w:p>
    <w:p>
      <w:pPr>
        <w:pStyle w:val="2"/>
        <w:rPr>
          <w:rFonts w:hint="default"/>
          <w:lang w:val="en-US" w:eastAsia="zh-CN"/>
        </w:rPr>
      </w:pPr>
      <w:r>
        <w:rPr>
          <w:rFonts w:hint="default"/>
          <w:lang w:val="en-US" w:eastAsia="zh-CN"/>
        </w:rPr>
        <w:t>▲2、在报价评审时，存在下列情形之一的，投标无效：</w:t>
      </w:r>
    </w:p>
    <w:p>
      <w:pPr>
        <w:pStyle w:val="2"/>
        <w:rPr>
          <w:rFonts w:hint="default"/>
          <w:lang w:val="en-US" w:eastAsia="zh-CN"/>
        </w:rPr>
      </w:pPr>
      <w:r>
        <w:rPr>
          <w:rFonts w:hint="default"/>
          <w:lang w:val="en-US" w:eastAsia="zh-CN"/>
        </w:rPr>
        <w:t>（1）报价超出招标文件规定的采购预算金额、最高限价或预算单价的；</w:t>
      </w:r>
    </w:p>
    <w:p>
      <w:pPr>
        <w:pStyle w:val="2"/>
        <w:rPr>
          <w:rFonts w:hint="default"/>
          <w:lang w:val="en-US" w:eastAsia="zh-CN"/>
        </w:rPr>
      </w:pPr>
      <w:r>
        <w:rPr>
          <w:rFonts w:hint="default"/>
          <w:lang w:val="en-US" w:eastAsia="zh-CN"/>
        </w:rPr>
        <w:t>（2）投标报价具有选择性的；</w:t>
      </w:r>
    </w:p>
    <w:p>
      <w:pPr>
        <w:pStyle w:val="2"/>
        <w:rPr>
          <w:rFonts w:hint="default"/>
          <w:lang w:val="en-US" w:eastAsia="zh-CN"/>
        </w:rPr>
      </w:pPr>
      <w:r>
        <w:rPr>
          <w:rFonts w:hint="default"/>
          <w:lang w:val="en-US" w:eastAsia="zh-CN"/>
        </w:rPr>
        <w:t>（3）不接受按招标文件规定的修正错误原则修正后的报价的。</w:t>
      </w:r>
    </w:p>
    <w:p>
      <w:pPr>
        <w:pStyle w:val="2"/>
        <w:rPr>
          <w:rFonts w:hint="default"/>
          <w:lang w:val="en-US" w:eastAsia="zh-CN"/>
        </w:rPr>
      </w:pPr>
      <w:r>
        <w:rPr>
          <w:rFonts w:hint="default"/>
          <w:lang w:val="en-US" w:eastAsia="zh-CN"/>
        </w:rPr>
        <w:t>（4）报价明显低于其他通过符合性审查投标人的报价，且投标人不能证明其报价合理性，有可能影响产品质量或者不能诚信履约的；</w:t>
      </w:r>
    </w:p>
    <w:p>
      <w:pPr>
        <w:pStyle w:val="2"/>
        <w:rPr>
          <w:rFonts w:hint="default"/>
          <w:lang w:val="en-US" w:eastAsia="zh-CN"/>
        </w:rPr>
      </w:pPr>
      <w:r>
        <w:rPr>
          <w:rFonts w:hint="default"/>
          <w:lang w:val="en-US" w:eastAsia="zh-CN"/>
        </w:rPr>
        <w:t>（5）法律、法规和招标文件规定的其他无效情形。</w:t>
      </w:r>
    </w:p>
    <w:p>
      <w:pPr>
        <w:spacing w:before="120" w:beforeLines="50" w:after="120" w:afterLines="50"/>
        <w:jc w:val="center"/>
        <w:outlineLvl w:val="1"/>
        <w:rPr>
          <w:b/>
          <w:sz w:val="28"/>
          <w:szCs w:val="28"/>
        </w:rPr>
      </w:pPr>
      <w:r>
        <w:rPr>
          <w:b/>
          <w:sz w:val="28"/>
          <w:szCs w:val="28"/>
        </w:rPr>
        <w:t>评分细则</w:t>
      </w:r>
    </w:p>
    <w:p>
      <w:pPr>
        <w:numPr>
          <w:ilvl w:val="0"/>
          <w:numId w:val="1"/>
        </w:numPr>
        <w:spacing w:line="360" w:lineRule="auto"/>
        <w:ind w:firstLine="457" w:firstLineChars="196"/>
        <w:rPr>
          <w:b/>
          <w:bCs/>
          <w:spacing w:val="-4"/>
          <w:sz w:val="24"/>
        </w:rPr>
      </w:pPr>
      <w:r>
        <w:rPr>
          <w:b/>
          <w:bCs/>
          <w:spacing w:val="-4"/>
          <w:sz w:val="24"/>
        </w:rPr>
        <w:t>商务技术分（0-</w:t>
      </w:r>
      <w:r>
        <w:rPr>
          <w:rFonts w:hint="eastAsia"/>
          <w:b/>
          <w:bCs/>
          <w:spacing w:val="-4"/>
          <w:sz w:val="24"/>
          <w:lang w:val="en-US" w:eastAsia="zh-CN"/>
        </w:rPr>
        <w:t>7</w:t>
      </w:r>
      <w:r>
        <w:rPr>
          <w:rFonts w:hint="eastAsia"/>
          <w:b/>
          <w:bCs/>
          <w:spacing w:val="-4"/>
          <w:sz w:val="24"/>
        </w:rPr>
        <w:t>0</w:t>
      </w:r>
      <w:r>
        <w:rPr>
          <w:b/>
          <w:bCs/>
          <w:spacing w:val="-4"/>
          <w:sz w:val="24"/>
        </w:rPr>
        <w:t>分）</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
        <w:gridCol w:w="1580"/>
        <w:gridCol w:w="4120"/>
        <w:gridCol w:w="1060"/>
        <w:gridCol w:w="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vAlign w:val="center"/>
          </w:tcPr>
          <w:p>
            <w:pPr>
              <w:spacing w:line="36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序号</w:t>
            </w:r>
          </w:p>
        </w:tc>
        <w:tc>
          <w:tcPr>
            <w:tcW w:w="1580" w:type="dxa"/>
            <w:vAlign w:val="center"/>
          </w:tcPr>
          <w:p>
            <w:pPr>
              <w:spacing w:line="360" w:lineRule="auto"/>
              <w:jc w:val="center"/>
              <w:rPr>
                <w:rFonts w:hint="eastAsia" w:ascii="宋体" w:hAnsi="宋体" w:eastAsia="宋体" w:cs="宋体"/>
                <w:sz w:val="24"/>
                <w:szCs w:val="24"/>
                <w:vertAlign w:val="baseline"/>
              </w:rPr>
            </w:pPr>
            <w:r>
              <w:rPr>
                <w:rFonts w:hint="eastAsia" w:ascii="宋体" w:hAnsi="宋体" w:eastAsia="宋体" w:cs="宋体"/>
                <w:color w:val="auto"/>
                <w:kern w:val="0"/>
                <w:sz w:val="24"/>
                <w:szCs w:val="24"/>
                <w:highlight w:val="none"/>
              </w:rPr>
              <w:t>评分内容</w:t>
            </w:r>
          </w:p>
        </w:tc>
        <w:tc>
          <w:tcPr>
            <w:tcW w:w="4120" w:type="dxa"/>
            <w:vAlign w:val="center"/>
          </w:tcPr>
          <w:p>
            <w:pPr>
              <w:spacing w:line="360" w:lineRule="auto"/>
              <w:jc w:val="center"/>
              <w:rPr>
                <w:rFonts w:hint="eastAsia" w:ascii="宋体" w:hAnsi="宋体" w:eastAsia="宋体" w:cs="宋体"/>
                <w:sz w:val="24"/>
                <w:szCs w:val="24"/>
                <w:vertAlign w:val="baseline"/>
              </w:rPr>
            </w:pPr>
            <w:r>
              <w:rPr>
                <w:rFonts w:hint="eastAsia" w:ascii="宋体" w:hAnsi="宋体" w:eastAsia="宋体" w:cs="宋体"/>
                <w:color w:val="auto"/>
                <w:kern w:val="0"/>
                <w:sz w:val="24"/>
                <w:szCs w:val="24"/>
                <w:highlight w:val="none"/>
              </w:rPr>
              <w:t>评分标准说明</w:t>
            </w:r>
          </w:p>
        </w:tc>
        <w:tc>
          <w:tcPr>
            <w:tcW w:w="1060" w:type="dxa"/>
            <w:vAlign w:val="center"/>
          </w:tcPr>
          <w:p>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类型</w:t>
            </w:r>
          </w:p>
        </w:tc>
        <w:tc>
          <w:tcPr>
            <w:tcW w:w="856" w:type="dxa"/>
            <w:vAlign w:val="center"/>
          </w:tcPr>
          <w:p>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580" w:type="dxa"/>
            <w:vMerge w:val="restart"/>
            <w:vAlign w:val="center"/>
          </w:tcPr>
          <w:p>
            <w:pPr>
              <w:spacing w:line="360" w:lineRule="auto"/>
              <w:jc w:val="center"/>
              <w:rPr>
                <w:rFonts w:hint="eastAsia" w:ascii="宋体" w:hAnsi="宋体" w:eastAsia="宋体" w:cs="宋体"/>
                <w:sz w:val="24"/>
                <w:szCs w:val="24"/>
                <w:vertAlign w:val="baseline"/>
              </w:rPr>
            </w:pPr>
            <w:r>
              <w:rPr>
                <w:rFonts w:hint="eastAsia" w:ascii="宋体" w:hAnsi="宋体" w:eastAsia="宋体" w:cs="宋体"/>
                <w:color w:val="auto"/>
                <w:sz w:val="24"/>
                <w:szCs w:val="24"/>
                <w:highlight w:val="none"/>
                <w:lang w:eastAsia="zh-CN"/>
              </w:rPr>
              <w:t>企业资质认证</w:t>
            </w:r>
          </w:p>
        </w:tc>
        <w:tc>
          <w:tcPr>
            <w:tcW w:w="4120" w:type="dxa"/>
            <w:vAlign w:val="center"/>
          </w:tcPr>
          <w:p>
            <w:pPr>
              <w:snapToGrid w:val="0"/>
              <w:spacing w:line="460" w:lineRule="exact"/>
              <w:ind w:left="-107" w:firstLine="480" w:firstLineChars="200"/>
              <w:jc w:val="left"/>
              <w:rPr>
                <w:rFonts w:hint="eastAsia" w:ascii="宋体" w:hAnsi="宋体" w:eastAsia="宋体" w:cs="宋体"/>
                <w:sz w:val="24"/>
                <w:szCs w:val="24"/>
                <w:vertAlign w:val="baseline"/>
                <w:lang w:eastAsia="zh-CN"/>
              </w:rPr>
            </w:pPr>
            <w:r>
              <w:rPr>
                <w:rFonts w:hint="eastAsia" w:ascii="宋体" w:hAnsi="宋体" w:eastAsia="宋体" w:cs="宋体"/>
                <w:color w:val="auto"/>
                <w:sz w:val="24"/>
                <w:szCs w:val="24"/>
                <w:highlight w:val="none"/>
              </w:rPr>
              <w:t>所投产品生产厂家具有有效期内的</w:t>
            </w:r>
            <w:r>
              <w:rPr>
                <w:rFonts w:hint="eastAsia" w:ascii="宋体" w:hAnsi="宋体" w:eastAsia="宋体" w:cs="宋体"/>
                <w:color w:val="auto"/>
                <w:sz w:val="24"/>
                <w:szCs w:val="24"/>
                <w:highlight w:val="none"/>
                <w:lang w:val="en-US" w:eastAsia="zh-CN"/>
              </w:rPr>
              <w:t>质</w:t>
            </w:r>
            <w:r>
              <w:rPr>
                <w:rFonts w:hint="eastAsia" w:ascii="宋体" w:hAnsi="宋体" w:eastAsia="宋体" w:cs="宋体"/>
                <w:color w:val="auto"/>
                <w:sz w:val="24"/>
                <w:szCs w:val="24"/>
                <w:highlight w:val="none"/>
              </w:rPr>
              <w:t>量管理体系认证证书、环境管理体系认证证书、职业健康安全体系认证证书，每一项得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分，最高</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p>
        </w:tc>
        <w:tc>
          <w:tcPr>
            <w:tcW w:w="1060"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客观分</w:t>
            </w:r>
          </w:p>
        </w:tc>
        <w:tc>
          <w:tcPr>
            <w:tcW w:w="856"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1580" w:type="dxa"/>
            <w:vMerge w:val="continue"/>
            <w:vAlign w:val="center"/>
          </w:tcPr>
          <w:p>
            <w:pPr>
              <w:spacing w:line="360" w:lineRule="auto"/>
              <w:jc w:val="center"/>
              <w:rPr>
                <w:rFonts w:hint="eastAsia" w:ascii="宋体" w:hAnsi="宋体" w:eastAsia="宋体" w:cs="宋体"/>
                <w:sz w:val="24"/>
                <w:szCs w:val="24"/>
                <w:vertAlign w:val="baseline"/>
              </w:rPr>
            </w:pPr>
          </w:p>
        </w:tc>
        <w:tc>
          <w:tcPr>
            <w:tcW w:w="4120" w:type="dxa"/>
            <w:vAlign w:val="center"/>
          </w:tcPr>
          <w:p>
            <w:pPr>
              <w:spacing w:line="360" w:lineRule="auto"/>
              <w:ind w:firstLine="480" w:firstLineChars="200"/>
              <w:jc w:val="left"/>
              <w:rPr>
                <w:rFonts w:hint="eastAsia" w:ascii="宋体" w:hAnsi="宋体" w:eastAsia="宋体" w:cs="宋体"/>
                <w:sz w:val="24"/>
                <w:szCs w:val="24"/>
                <w:vertAlign w:val="baseline"/>
                <w:lang w:val="en-US" w:eastAsia="zh-CN"/>
              </w:rPr>
            </w:pPr>
            <w:r>
              <w:rPr>
                <w:rFonts w:hint="default" w:ascii="宋体" w:hAnsi="宋体" w:eastAsia="宋体" w:cs="宋体"/>
                <w:sz w:val="24"/>
                <w:szCs w:val="24"/>
                <w:lang w:val="en-US"/>
              </w:rPr>
              <w:t>投</w:t>
            </w:r>
            <w:r>
              <w:rPr>
                <w:rFonts w:hint="eastAsia" w:ascii="宋体" w:hAnsi="宋体" w:eastAsia="宋体" w:cs="宋体"/>
                <w:sz w:val="24"/>
                <w:szCs w:val="24"/>
                <w:lang w:val="en-US" w:eastAsia="zh-CN"/>
              </w:rPr>
              <w:t>标人</w:t>
            </w:r>
            <w:r>
              <w:rPr>
                <w:rFonts w:hint="eastAsia" w:ascii="宋体" w:hAnsi="宋体" w:eastAsia="宋体" w:cs="宋体"/>
                <w:sz w:val="24"/>
                <w:szCs w:val="24"/>
              </w:rPr>
              <w:t>的营业执照应具有“环保设备维护”或“环境保护监测”或“环境污染防治务”等相关经营范围。</w:t>
            </w:r>
            <w:r>
              <w:rPr>
                <w:rFonts w:hint="eastAsia" w:ascii="宋体" w:hAnsi="宋体" w:eastAsia="宋体" w:cs="宋体"/>
                <w:sz w:val="24"/>
                <w:szCs w:val="24"/>
                <w:lang w:val="en-US" w:eastAsia="zh-CN"/>
              </w:rPr>
              <w:t>有其中一项得</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分，没有不得分。</w:t>
            </w:r>
          </w:p>
        </w:tc>
        <w:tc>
          <w:tcPr>
            <w:tcW w:w="1060" w:type="dxa"/>
            <w:vAlign w:val="center"/>
          </w:tcPr>
          <w:p>
            <w:pPr>
              <w:spacing w:line="360" w:lineRule="auto"/>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客观分</w:t>
            </w:r>
          </w:p>
        </w:tc>
        <w:tc>
          <w:tcPr>
            <w:tcW w:w="856"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1580" w:type="dxa"/>
            <w:vMerge w:val="continue"/>
            <w:vAlign w:val="center"/>
          </w:tcPr>
          <w:p>
            <w:pPr>
              <w:spacing w:line="360" w:lineRule="auto"/>
              <w:jc w:val="center"/>
              <w:rPr>
                <w:rFonts w:hint="eastAsia" w:ascii="宋体" w:hAnsi="宋体" w:eastAsia="宋体" w:cs="宋体"/>
                <w:color w:val="auto"/>
                <w:sz w:val="24"/>
                <w:szCs w:val="24"/>
                <w:highlight w:val="none"/>
              </w:rPr>
            </w:pPr>
          </w:p>
        </w:tc>
        <w:tc>
          <w:tcPr>
            <w:tcW w:w="4120" w:type="dxa"/>
            <w:vAlign w:val="center"/>
          </w:tcPr>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cs="宋体"/>
                <w:bCs/>
                <w:color w:val="auto"/>
                <w:sz w:val="24"/>
                <w:szCs w:val="24"/>
                <w:highlight w:val="none"/>
                <w:lang w:eastAsia="zh-CN"/>
              </w:rPr>
              <w:t>投标人具有有效期内的危险</w:t>
            </w:r>
            <w:r>
              <w:rPr>
                <w:rFonts w:hint="default" w:ascii="宋体" w:hAnsi="宋体" w:cs="宋体"/>
                <w:bCs/>
                <w:color w:val="auto"/>
                <w:sz w:val="24"/>
                <w:szCs w:val="24"/>
                <w:highlight w:val="none"/>
                <w:lang w:val="en-US" w:eastAsia="zh-CN"/>
              </w:rPr>
              <w:t>化</w:t>
            </w:r>
            <w:r>
              <w:rPr>
                <w:rFonts w:hint="eastAsia" w:ascii="宋体" w:hAnsi="宋体" w:cs="宋体"/>
                <w:bCs/>
                <w:color w:val="auto"/>
                <w:sz w:val="24"/>
                <w:szCs w:val="24"/>
                <w:highlight w:val="none"/>
                <w:lang w:val="en-US" w:eastAsia="zh-CN"/>
              </w:rPr>
              <w:t>学品经营许可证。</w:t>
            </w:r>
          </w:p>
        </w:tc>
        <w:tc>
          <w:tcPr>
            <w:tcW w:w="1060"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客观分</w:t>
            </w:r>
          </w:p>
        </w:tc>
        <w:tc>
          <w:tcPr>
            <w:tcW w:w="856"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4</w:t>
            </w:r>
          </w:p>
        </w:tc>
        <w:tc>
          <w:tcPr>
            <w:tcW w:w="1580" w:type="dxa"/>
            <w:vMerge w:val="restart"/>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投标企业</w:t>
            </w:r>
            <w:r>
              <w:rPr>
                <w:rFonts w:hint="eastAsia" w:ascii="宋体" w:hAnsi="宋体" w:eastAsia="宋体" w:cs="宋体"/>
                <w:color w:val="auto"/>
                <w:sz w:val="24"/>
                <w:szCs w:val="24"/>
                <w:highlight w:val="none"/>
                <w:lang w:eastAsia="zh-CN"/>
              </w:rPr>
              <w:t>实力</w:t>
            </w:r>
          </w:p>
        </w:tc>
        <w:tc>
          <w:tcPr>
            <w:tcW w:w="4120" w:type="dxa"/>
            <w:vAlign w:val="center"/>
          </w:tcPr>
          <w:p>
            <w:pPr>
              <w:spacing w:line="360" w:lineRule="auto"/>
              <w:ind w:firstLine="480" w:firstLineChars="200"/>
              <w:jc w:val="left"/>
              <w:rPr>
                <w:rFonts w:hint="eastAsia" w:ascii="宋体" w:hAnsi="宋体" w:eastAsia="宋体" w:cs="宋体"/>
                <w:color w:val="auto"/>
                <w:sz w:val="24"/>
                <w:szCs w:val="24"/>
                <w:highlight w:val="yellow"/>
              </w:rPr>
            </w:pPr>
            <w:r>
              <w:rPr>
                <w:rFonts w:hint="default" w:ascii="宋体" w:hAnsi="宋体" w:eastAsia="宋体" w:cs="宋体"/>
                <w:color w:val="auto"/>
                <w:sz w:val="24"/>
                <w:szCs w:val="24"/>
                <w:highlight w:val="none"/>
                <w:lang w:val="en-US"/>
              </w:rPr>
              <w:t>投</w:t>
            </w:r>
            <w:r>
              <w:rPr>
                <w:rFonts w:hint="eastAsia" w:ascii="宋体" w:hAnsi="宋体" w:eastAsia="宋体" w:cs="宋体"/>
                <w:color w:val="auto"/>
                <w:sz w:val="24"/>
                <w:szCs w:val="24"/>
                <w:highlight w:val="none"/>
                <w:lang w:val="en-US" w:eastAsia="zh-CN"/>
              </w:rPr>
              <w:t>标企</w:t>
            </w:r>
            <w:r>
              <w:rPr>
                <w:rFonts w:hint="default" w:ascii="宋体" w:hAnsi="宋体" w:eastAsia="宋体" w:cs="宋体"/>
                <w:color w:val="auto"/>
                <w:sz w:val="24"/>
                <w:szCs w:val="24"/>
                <w:highlight w:val="none"/>
                <w:lang w:val="en-US" w:eastAsia="zh-CN"/>
              </w:rPr>
              <w:t>业</w:t>
            </w:r>
            <w:r>
              <w:rPr>
                <w:rFonts w:hint="eastAsia" w:ascii="宋体" w:hAnsi="宋体" w:eastAsia="宋体" w:cs="宋体"/>
                <w:color w:val="auto"/>
                <w:sz w:val="24"/>
                <w:szCs w:val="24"/>
                <w:highlight w:val="none"/>
                <w:lang w:val="en-US" w:eastAsia="zh-CN"/>
              </w:rPr>
              <w:t>获得“浙江省科技型中小企</w:t>
            </w:r>
            <w:r>
              <w:rPr>
                <w:rFonts w:hint="default" w:ascii="宋体" w:hAnsi="宋体" w:eastAsia="宋体" w:cs="宋体"/>
                <w:color w:val="auto"/>
                <w:sz w:val="24"/>
                <w:szCs w:val="24"/>
                <w:highlight w:val="none"/>
                <w:lang w:val="en-US" w:eastAsia="zh-CN"/>
              </w:rPr>
              <w:t>业</w:t>
            </w:r>
            <w:r>
              <w:rPr>
                <w:rFonts w:hint="eastAsia" w:ascii="宋体" w:hAnsi="宋体" w:cs="宋体"/>
                <w:color w:val="auto"/>
                <w:sz w:val="24"/>
                <w:szCs w:val="24"/>
                <w:highlight w:val="none"/>
                <w:lang w:val="en-US" w:eastAsia="zh-CN"/>
              </w:rPr>
              <w:t>”或“”</w:t>
            </w:r>
            <w:r>
              <w:rPr>
                <w:rFonts w:hint="default" w:ascii="宋体" w:hAnsi="宋体" w:cs="宋体"/>
                <w:color w:val="auto"/>
                <w:sz w:val="24"/>
                <w:szCs w:val="24"/>
                <w:highlight w:val="none"/>
                <w:lang w:val="en-US" w:eastAsia="zh-CN"/>
              </w:rPr>
              <w:t>国</w:t>
            </w:r>
            <w:r>
              <w:rPr>
                <w:rFonts w:hint="eastAsia" w:ascii="宋体" w:hAnsi="宋体" w:cs="宋体"/>
                <w:color w:val="auto"/>
                <w:sz w:val="24"/>
                <w:szCs w:val="24"/>
                <w:highlight w:val="none"/>
                <w:lang w:val="en-US" w:eastAsia="zh-CN"/>
              </w:rPr>
              <w:t>家高新技术企业”称呼</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lang w:eastAsia="zh-CN"/>
              </w:rPr>
              <w:t>得</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w:t>
            </w:r>
            <w:r>
              <w:rPr>
                <w:rFonts w:hint="eastAsia" w:ascii="宋体" w:hAnsi="宋体" w:cs="宋体"/>
                <w:color w:val="auto"/>
                <w:sz w:val="24"/>
                <w:szCs w:val="24"/>
                <w:highlight w:val="none"/>
                <w:lang w:eastAsia="zh-CN"/>
              </w:rPr>
              <w:t>，最高得</w:t>
            </w:r>
            <w:r>
              <w:rPr>
                <w:rFonts w:hint="default" w:ascii="宋体" w:hAnsi="宋体" w:cs="宋体"/>
                <w:color w:val="auto"/>
                <w:sz w:val="24"/>
                <w:szCs w:val="24"/>
                <w:highlight w:val="none"/>
                <w:lang w:val="en-US" w:eastAsia="zh-CN"/>
              </w:rPr>
              <w:t>4分</w:t>
            </w:r>
          </w:p>
        </w:tc>
        <w:tc>
          <w:tcPr>
            <w:tcW w:w="1060"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客观分</w:t>
            </w:r>
          </w:p>
        </w:tc>
        <w:tc>
          <w:tcPr>
            <w:tcW w:w="856"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vAlign w:val="center"/>
          </w:tcPr>
          <w:p>
            <w:pPr>
              <w:spacing w:line="360" w:lineRule="auto"/>
              <w:jc w:val="center"/>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5</w:t>
            </w:r>
          </w:p>
        </w:tc>
        <w:tc>
          <w:tcPr>
            <w:tcW w:w="1580" w:type="dxa"/>
            <w:vMerge w:val="continue"/>
            <w:vAlign w:val="center"/>
          </w:tcPr>
          <w:p>
            <w:pPr>
              <w:spacing w:line="360" w:lineRule="auto"/>
              <w:jc w:val="center"/>
              <w:rPr>
                <w:rFonts w:hint="eastAsia" w:ascii="宋体" w:hAnsi="宋体" w:eastAsia="宋体" w:cs="宋体"/>
                <w:color w:val="auto"/>
                <w:sz w:val="24"/>
                <w:szCs w:val="24"/>
                <w:highlight w:val="none"/>
              </w:rPr>
            </w:pPr>
          </w:p>
        </w:tc>
        <w:tc>
          <w:tcPr>
            <w:tcW w:w="4120" w:type="dxa"/>
            <w:vAlign w:val="center"/>
          </w:tcPr>
          <w:p>
            <w:pPr>
              <w:spacing w:line="360" w:lineRule="auto"/>
              <w:ind w:firstLine="480" w:firstLineChars="200"/>
              <w:jc w:val="left"/>
              <w:rPr>
                <w:rFonts w:hint="default" w:ascii="宋体" w:hAnsi="宋体" w:eastAsia="宋体" w:cs="宋体"/>
                <w:kern w:val="2"/>
                <w:sz w:val="24"/>
                <w:szCs w:val="24"/>
                <w:vertAlign w:val="baseline"/>
                <w:lang w:val="en-US" w:eastAsia="zh-CN" w:bidi="ar-SA"/>
              </w:rPr>
            </w:pP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eastAsia="zh-CN"/>
              </w:rPr>
              <w:t>人具有实验室且实验室负责人有环境监测类中、高级</w:t>
            </w:r>
            <w:r>
              <w:rPr>
                <w:rFonts w:hint="default" w:ascii="宋体" w:hAnsi="宋体" w:eastAsia="宋体" w:cs="宋体"/>
                <w:color w:val="auto"/>
                <w:sz w:val="24"/>
                <w:szCs w:val="24"/>
                <w:highlight w:val="none"/>
                <w:lang w:val="en-US" w:eastAsia="zh-CN"/>
              </w:rPr>
              <w:t>工</w:t>
            </w:r>
            <w:r>
              <w:rPr>
                <w:rFonts w:hint="eastAsia" w:ascii="宋体" w:hAnsi="宋体" w:eastAsia="宋体" w:cs="宋体"/>
                <w:color w:val="auto"/>
                <w:sz w:val="24"/>
                <w:szCs w:val="24"/>
                <w:highlight w:val="none"/>
                <w:lang w:val="en-US" w:eastAsia="zh-CN"/>
              </w:rPr>
              <w:t>程师证书得</w:t>
            </w:r>
            <w:r>
              <w:rPr>
                <w:rFonts w:hint="default" w:ascii="宋体" w:hAnsi="宋体" w:eastAsia="宋体" w:cs="宋体"/>
                <w:color w:val="auto"/>
                <w:sz w:val="24"/>
                <w:szCs w:val="24"/>
                <w:highlight w:val="none"/>
                <w:lang w:val="en-US" w:eastAsia="zh-CN"/>
              </w:rPr>
              <w:t>2分</w:t>
            </w:r>
            <w:r>
              <w:rPr>
                <w:rFonts w:hint="eastAsia" w:ascii="宋体" w:hAnsi="宋体" w:cs="宋体"/>
                <w:color w:val="auto"/>
                <w:sz w:val="24"/>
                <w:szCs w:val="24"/>
                <w:highlight w:val="none"/>
                <w:lang w:val="en-US" w:eastAsia="zh-CN"/>
              </w:rPr>
              <w:t>，最高</w:t>
            </w:r>
            <w:r>
              <w:rPr>
                <w:rFonts w:hint="default" w:ascii="宋体" w:hAnsi="宋体" w:cs="宋体"/>
                <w:color w:val="auto"/>
                <w:sz w:val="24"/>
                <w:szCs w:val="24"/>
                <w:highlight w:val="none"/>
                <w:lang w:val="en-US" w:eastAsia="zh-CN"/>
              </w:rPr>
              <w:t>2分</w:t>
            </w:r>
            <w:r>
              <w:rPr>
                <w:rFonts w:hint="eastAsia" w:ascii="宋体" w:hAnsi="宋体" w:cs="宋体"/>
                <w:color w:val="auto"/>
                <w:sz w:val="24"/>
                <w:szCs w:val="24"/>
                <w:highlight w:val="none"/>
                <w:lang w:val="en-US" w:eastAsia="zh-CN"/>
              </w:rPr>
              <w:t>。</w:t>
            </w:r>
          </w:p>
        </w:tc>
        <w:tc>
          <w:tcPr>
            <w:tcW w:w="1060" w:type="dxa"/>
            <w:vAlign w:val="center"/>
          </w:tcPr>
          <w:p>
            <w:pPr>
              <w:spacing w:line="360" w:lineRule="auto"/>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客观分</w:t>
            </w:r>
          </w:p>
        </w:tc>
        <w:tc>
          <w:tcPr>
            <w:tcW w:w="856" w:type="dxa"/>
            <w:vAlign w:val="center"/>
          </w:tcPr>
          <w:p>
            <w:pPr>
              <w:spacing w:line="360" w:lineRule="auto"/>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w:t>
            </w:r>
          </w:p>
        </w:tc>
        <w:tc>
          <w:tcPr>
            <w:tcW w:w="1580" w:type="dxa"/>
            <w:vAlign w:val="center"/>
          </w:tcPr>
          <w:p>
            <w:pPr>
              <w:spacing w:line="360" w:lineRule="auto"/>
              <w:jc w:val="center"/>
              <w:rPr>
                <w:rFonts w:hint="eastAsia" w:ascii="宋体" w:hAnsi="宋体" w:eastAsia="宋体" w:cs="宋体"/>
                <w:sz w:val="24"/>
                <w:szCs w:val="24"/>
                <w:vertAlign w:val="baseline"/>
              </w:rPr>
            </w:pPr>
            <w:r>
              <w:rPr>
                <w:rFonts w:hint="eastAsia" w:ascii="宋体" w:hAnsi="宋体" w:eastAsia="宋体" w:cs="宋体"/>
                <w:color w:val="auto"/>
                <w:sz w:val="24"/>
                <w:szCs w:val="24"/>
                <w:highlight w:val="none"/>
                <w:lang w:val="en-US" w:eastAsia="zh-CN"/>
              </w:rPr>
              <w:t>技术要求与招标文件的符合性</w:t>
            </w:r>
          </w:p>
        </w:tc>
        <w:tc>
          <w:tcPr>
            <w:tcW w:w="4120" w:type="dxa"/>
            <w:vAlign w:val="center"/>
          </w:tcPr>
          <w:p>
            <w:pPr>
              <w:widowControl/>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需提供消毒产品卫生许可证，安全评价备案表，</w:t>
            </w:r>
            <w:r>
              <w:rPr>
                <w:rFonts w:hint="eastAsia" w:ascii="宋体" w:hAnsi="宋体" w:eastAsia="宋体" w:cs="宋体"/>
                <w:color w:val="auto"/>
                <w:sz w:val="24"/>
                <w:szCs w:val="24"/>
                <w:highlight w:val="none"/>
                <w:u w:val="single"/>
              </w:rPr>
              <w:t>省级疾控中心出具的产品检测报告</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rPr>
              <w:t>消毒粉的成分规格需出具省级疾控中心检测报告，检测报告含有以下内容：</w:t>
            </w:r>
          </w:p>
          <w:p>
            <w:pPr>
              <w:widowControl/>
              <w:spacing w:line="460" w:lineRule="exact"/>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1、消毒粉中单过硫酸氢钾的含量测定不低于19%不高于25%</w:t>
            </w:r>
            <w:r>
              <w:rPr>
                <w:rFonts w:hint="eastAsia" w:ascii="宋体" w:hAnsi="宋体" w:eastAsia="宋体" w:cs="宋体"/>
                <w:color w:val="auto"/>
                <w:sz w:val="24"/>
                <w:szCs w:val="24"/>
                <w:highlight w:val="none"/>
                <w:lang w:eastAsia="zh-CN"/>
              </w:rPr>
              <w:t>。</w:t>
            </w:r>
          </w:p>
          <w:p>
            <w:pPr>
              <w:widowControl/>
              <w:spacing w:line="460" w:lineRule="exact"/>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2、消毒粉中有效氯含量测定不低于40%</w:t>
            </w:r>
            <w:r>
              <w:rPr>
                <w:rFonts w:hint="eastAsia" w:ascii="宋体" w:hAnsi="宋体" w:eastAsia="宋体" w:cs="宋体"/>
                <w:color w:val="auto"/>
                <w:sz w:val="24"/>
                <w:szCs w:val="24"/>
                <w:highlight w:val="none"/>
                <w:lang w:eastAsia="zh-CN"/>
              </w:rPr>
              <w:t>。</w:t>
            </w:r>
          </w:p>
          <w:p>
            <w:pPr>
              <w:widowControl/>
              <w:spacing w:line="460" w:lineRule="exact"/>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3、消毒粉测验报告中具有稳定性测试内容且符合要求</w:t>
            </w:r>
            <w:r>
              <w:rPr>
                <w:rFonts w:hint="eastAsia" w:ascii="宋体" w:hAnsi="宋体" w:eastAsia="宋体" w:cs="宋体"/>
                <w:color w:val="auto"/>
                <w:sz w:val="24"/>
                <w:szCs w:val="24"/>
                <w:highlight w:val="none"/>
                <w:lang w:eastAsia="zh-CN"/>
              </w:rPr>
              <w:t>。</w:t>
            </w:r>
          </w:p>
          <w:p>
            <w:pPr>
              <w:widowControl/>
              <w:spacing w:line="460" w:lineRule="exact"/>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4、消毒粉对于金黄色葡萄球菌的杀菌能力，杀灭值需＞5.0</w:t>
            </w:r>
            <w:r>
              <w:rPr>
                <w:rFonts w:hint="eastAsia" w:ascii="宋体" w:hAnsi="宋体" w:eastAsia="宋体" w:cs="宋体"/>
                <w:color w:val="auto"/>
                <w:sz w:val="24"/>
                <w:szCs w:val="24"/>
                <w:highlight w:val="none"/>
                <w:lang w:eastAsia="zh-CN"/>
              </w:rPr>
              <w:t>。</w:t>
            </w:r>
          </w:p>
          <w:p>
            <w:pPr>
              <w:widowControl/>
              <w:spacing w:line="460" w:lineRule="exact"/>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5、消毒粉对于枯草杆菌黑色变种芽孢＞5.0</w:t>
            </w:r>
            <w:r>
              <w:rPr>
                <w:rFonts w:hint="eastAsia" w:ascii="宋体" w:hAnsi="宋体" w:eastAsia="宋体" w:cs="宋体"/>
                <w:color w:val="auto"/>
                <w:sz w:val="24"/>
                <w:szCs w:val="24"/>
                <w:highlight w:val="none"/>
                <w:lang w:eastAsia="zh-CN"/>
              </w:rPr>
              <w:t>。</w:t>
            </w:r>
          </w:p>
          <w:p>
            <w:pPr>
              <w:widowControl/>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6、消毒粉对于污水消毒实验报告粪大肠杀菌结果需为0。</w:t>
            </w:r>
          </w:p>
          <w:p>
            <w:pPr>
              <w:spacing w:line="360" w:lineRule="auto"/>
              <w:jc w:val="center"/>
              <w:rPr>
                <w:rFonts w:hint="eastAsia" w:ascii="宋体" w:hAnsi="宋体" w:eastAsia="宋体" w:cs="宋体"/>
                <w:sz w:val="24"/>
                <w:szCs w:val="24"/>
                <w:vertAlign w:val="baseline"/>
              </w:rPr>
            </w:pPr>
            <w:r>
              <w:rPr>
                <w:rFonts w:hint="eastAsia" w:ascii="宋体" w:hAnsi="宋体" w:eastAsia="宋体" w:cs="宋体"/>
                <w:color w:val="auto"/>
                <w:sz w:val="24"/>
                <w:szCs w:val="24"/>
                <w:highlight w:val="none"/>
              </w:rPr>
              <w:t>以上检测报告缺一不可，根据消毒技术规范要求：缺少一项视为不合格产品扣除此项所有分值。</w:t>
            </w:r>
          </w:p>
        </w:tc>
        <w:tc>
          <w:tcPr>
            <w:tcW w:w="106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sz w:val="24"/>
                <w:szCs w:val="24"/>
                <w:vertAlign w:val="baseline"/>
                <w:lang w:val="en-US" w:eastAsia="zh-CN"/>
              </w:rPr>
              <w:t>客观分</w:t>
            </w:r>
          </w:p>
        </w:tc>
        <w:tc>
          <w:tcPr>
            <w:tcW w:w="856"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w:t>
            </w:r>
          </w:p>
        </w:tc>
        <w:tc>
          <w:tcPr>
            <w:tcW w:w="1580" w:type="dxa"/>
            <w:vAlign w:val="center"/>
          </w:tcPr>
          <w:p>
            <w:pPr>
              <w:spacing w:line="360" w:lineRule="auto"/>
              <w:jc w:val="center"/>
              <w:rPr>
                <w:rFonts w:hint="eastAsia" w:ascii="宋体" w:hAnsi="宋体" w:eastAsia="宋体" w:cs="宋体"/>
                <w:sz w:val="24"/>
                <w:szCs w:val="24"/>
                <w:vertAlign w:val="baseline"/>
              </w:rPr>
            </w:pPr>
            <w:r>
              <w:rPr>
                <w:rFonts w:hint="eastAsia" w:ascii="宋体" w:hAnsi="宋体" w:eastAsia="宋体" w:cs="宋体"/>
                <w:b w:val="0"/>
                <w:bCs w:val="0"/>
                <w:color w:val="auto"/>
                <w:sz w:val="24"/>
                <w:szCs w:val="24"/>
                <w:highlight w:val="none"/>
              </w:rPr>
              <w:t>保证</w:t>
            </w:r>
            <w:r>
              <w:rPr>
                <w:rFonts w:hint="eastAsia" w:ascii="宋体" w:hAnsi="宋体" w:eastAsia="宋体" w:cs="宋体"/>
                <w:b w:val="0"/>
                <w:bCs w:val="0"/>
                <w:color w:val="auto"/>
                <w:sz w:val="24"/>
                <w:szCs w:val="24"/>
                <w:highlight w:val="none"/>
                <w:lang w:val="en-US" w:eastAsia="zh-CN"/>
              </w:rPr>
              <w:t>措施</w:t>
            </w:r>
          </w:p>
        </w:tc>
        <w:tc>
          <w:tcPr>
            <w:tcW w:w="4120" w:type="dxa"/>
            <w:vAlign w:val="center"/>
          </w:tcPr>
          <w:p>
            <w:pPr>
              <w:spacing w:line="360" w:lineRule="auto"/>
              <w:ind w:firstLine="480" w:firstLineChars="200"/>
              <w:jc w:val="left"/>
              <w:rPr>
                <w:rFonts w:hint="eastAsia" w:ascii="宋体" w:hAnsi="宋体" w:eastAsia="宋体" w:cs="宋体"/>
                <w:sz w:val="24"/>
                <w:szCs w:val="24"/>
                <w:vertAlign w:val="baseline"/>
              </w:rPr>
            </w:pPr>
            <w:r>
              <w:rPr>
                <w:rFonts w:hint="eastAsia" w:ascii="宋体" w:hAnsi="宋体" w:eastAsia="宋体" w:cs="宋体"/>
                <w:b w:val="0"/>
                <w:bCs w:val="0"/>
                <w:color w:val="auto"/>
                <w:sz w:val="24"/>
                <w:szCs w:val="24"/>
                <w:highlight w:val="none"/>
                <w:lang w:val="en-US" w:eastAsia="zh-CN"/>
              </w:rPr>
              <w:t>根据</w:t>
            </w:r>
            <w:r>
              <w:rPr>
                <w:rFonts w:hint="eastAsia" w:ascii="宋体" w:hAnsi="宋体" w:eastAsia="宋体" w:cs="宋体"/>
                <w:b w:val="0"/>
                <w:bCs w:val="0"/>
                <w:color w:val="auto"/>
                <w:sz w:val="24"/>
                <w:szCs w:val="24"/>
                <w:highlight w:val="none"/>
              </w:rPr>
              <w:t>产品质量</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服务质量保证措施</w:t>
            </w:r>
            <w:r>
              <w:rPr>
                <w:rFonts w:hint="eastAsia" w:ascii="宋体" w:hAnsi="宋体" w:eastAsia="宋体" w:cs="宋体"/>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应急方案及配送时间</w:t>
            </w:r>
            <w:r>
              <w:rPr>
                <w:rFonts w:hint="eastAsia" w:ascii="宋体" w:hAnsi="宋体" w:eastAsia="宋体" w:cs="宋体"/>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仓储情况（提供仓库产权证明或租赁合同）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0-</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分</w:t>
            </w:r>
            <w:r>
              <w:rPr>
                <w:rFonts w:hint="eastAsia" w:ascii="宋体" w:hAnsi="宋体" w:eastAsia="宋体" w:cs="宋体"/>
                <w:color w:val="auto"/>
                <w:sz w:val="24"/>
                <w:szCs w:val="24"/>
                <w:highlight w:val="none"/>
                <w:lang w:eastAsia="zh-CN"/>
              </w:rPr>
              <w:t>）。</w:t>
            </w:r>
          </w:p>
        </w:tc>
        <w:tc>
          <w:tcPr>
            <w:tcW w:w="1060"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主观分</w:t>
            </w:r>
          </w:p>
        </w:tc>
        <w:tc>
          <w:tcPr>
            <w:tcW w:w="856"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w:t>
            </w:r>
          </w:p>
        </w:tc>
        <w:tc>
          <w:tcPr>
            <w:tcW w:w="1580" w:type="dxa"/>
            <w:vAlign w:val="center"/>
          </w:tcPr>
          <w:p>
            <w:pPr>
              <w:spacing w:line="360" w:lineRule="auto"/>
              <w:jc w:val="center"/>
              <w:rPr>
                <w:rFonts w:hint="eastAsia" w:ascii="宋体" w:hAnsi="宋体" w:eastAsia="宋体" w:cs="宋体"/>
                <w:sz w:val="24"/>
                <w:szCs w:val="24"/>
                <w:vertAlign w:val="baseline"/>
              </w:rPr>
            </w:pPr>
            <w:r>
              <w:rPr>
                <w:rFonts w:hint="eastAsia" w:ascii="宋体" w:hAnsi="宋体" w:eastAsia="宋体" w:cs="宋体"/>
                <w:color w:val="auto"/>
                <w:sz w:val="24"/>
                <w:szCs w:val="24"/>
                <w:highlight w:val="none"/>
              </w:rPr>
              <w:t>售后服务能力</w:t>
            </w:r>
          </w:p>
        </w:tc>
        <w:tc>
          <w:tcPr>
            <w:tcW w:w="4120" w:type="dxa"/>
            <w:vAlign w:val="center"/>
          </w:tcPr>
          <w:p>
            <w:pPr>
              <w:widowControl/>
              <w:spacing w:line="460" w:lineRule="exact"/>
              <w:ind w:firstLine="480" w:firstLineChars="200"/>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color w:val="auto"/>
                <w:sz w:val="24"/>
                <w:szCs w:val="24"/>
                <w:highlight w:val="none"/>
              </w:rPr>
              <w:t>委根据供应商提供的</w:t>
            </w:r>
            <w:r>
              <w:rPr>
                <w:rFonts w:hint="eastAsia" w:ascii="宋体" w:hAnsi="宋体" w:eastAsia="宋体" w:cs="宋体"/>
                <w:bCs/>
                <w:color w:val="auto"/>
                <w:sz w:val="24"/>
                <w:szCs w:val="24"/>
                <w:highlight w:val="none"/>
                <w:lang w:val="en-US" w:eastAsia="zh-CN"/>
              </w:rPr>
              <w:t>售后服务方案情况，对交货后出现不合格等问题所采取的措施，以及以往售后情况进行评仪。（0-</w:t>
            </w:r>
            <w:r>
              <w:rPr>
                <w:rFonts w:hint="eastAsia" w:ascii="宋体" w:hAnsi="宋体" w:cs="宋体"/>
                <w:bCs/>
                <w:color w:val="auto"/>
                <w:sz w:val="24"/>
                <w:szCs w:val="24"/>
                <w:highlight w:val="none"/>
                <w:lang w:val="en-US" w:eastAsia="zh-CN"/>
              </w:rPr>
              <w:t>6</w:t>
            </w:r>
            <w:r>
              <w:rPr>
                <w:rFonts w:hint="eastAsia" w:ascii="宋体" w:hAnsi="宋体" w:eastAsia="宋体" w:cs="宋体"/>
                <w:bCs/>
                <w:color w:val="auto"/>
                <w:sz w:val="24"/>
                <w:szCs w:val="24"/>
                <w:highlight w:val="none"/>
                <w:lang w:val="en-US" w:eastAsia="zh-CN"/>
              </w:rPr>
              <w:t>分）。</w:t>
            </w:r>
          </w:p>
          <w:p>
            <w:pPr>
              <w:spacing w:line="360" w:lineRule="auto"/>
              <w:ind w:firstLine="480" w:firstLineChars="200"/>
              <w:jc w:val="left"/>
              <w:rPr>
                <w:rFonts w:hint="eastAsia" w:ascii="宋体" w:hAnsi="宋体" w:eastAsia="宋体" w:cs="宋体"/>
                <w:sz w:val="24"/>
                <w:szCs w:val="24"/>
                <w:vertAlign w:val="baseline"/>
              </w:rPr>
            </w:pPr>
            <w:r>
              <w:rPr>
                <w:rFonts w:hint="eastAsia" w:ascii="宋体" w:hAnsi="宋体" w:eastAsia="宋体" w:cs="宋体"/>
                <w:bCs/>
                <w:color w:val="auto"/>
                <w:sz w:val="24"/>
                <w:szCs w:val="24"/>
                <w:highlight w:val="none"/>
                <w:lang w:val="en-US" w:eastAsia="zh-CN"/>
              </w:rPr>
              <w:t>售后人员的服务能力：针对本项目的售后服务人员经专业培训，具有环境污染治理设施运行人员证书的每一本得1分，最多2分。</w:t>
            </w:r>
          </w:p>
        </w:tc>
        <w:tc>
          <w:tcPr>
            <w:tcW w:w="1060" w:type="dxa"/>
            <w:vAlign w:val="center"/>
          </w:tcPr>
          <w:p>
            <w:pPr>
              <w:spacing w:line="360" w:lineRule="auto"/>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主观分</w:t>
            </w:r>
          </w:p>
        </w:tc>
        <w:tc>
          <w:tcPr>
            <w:tcW w:w="856"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9</w:t>
            </w:r>
          </w:p>
        </w:tc>
        <w:tc>
          <w:tcPr>
            <w:tcW w:w="1580" w:type="dxa"/>
            <w:vAlign w:val="center"/>
          </w:tcPr>
          <w:p>
            <w:pPr>
              <w:spacing w:line="360" w:lineRule="auto"/>
              <w:jc w:val="center"/>
              <w:rPr>
                <w:rFonts w:hint="eastAsia" w:ascii="宋体" w:hAnsi="宋体" w:eastAsia="宋体" w:cs="宋体"/>
                <w:sz w:val="24"/>
                <w:szCs w:val="24"/>
                <w:vertAlign w:val="baseline"/>
              </w:rPr>
            </w:pPr>
            <w:r>
              <w:rPr>
                <w:rFonts w:hint="eastAsia" w:ascii="宋体" w:hAnsi="宋体" w:eastAsia="宋体" w:cs="宋体"/>
                <w:color w:val="auto"/>
                <w:sz w:val="24"/>
                <w:szCs w:val="24"/>
                <w:highlight w:val="none"/>
                <w:lang w:val="en-US" w:eastAsia="zh-CN"/>
              </w:rPr>
              <w:t>业绩</w:t>
            </w:r>
          </w:p>
        </w:tc>
        <w:tc>
          <w:tcPr>
            <w:tcW w:w="4120" w:type="dxa"/>
            <w:vAlign w:val="center"/>
          </w:tcPr>
          <w:p>
            <w:pPr>
              <w:spacing w:line="360" w:lineRule="auto"/>
              <w:ind w:firstLine="480" w:firstLineChars="200"/>
              <w:jc w:val="left"/>
              <w:rPr>
                <w:rFonts w:hint="eastAsia" w:ascii="宋体" w:hAnsi="宋体" w:eastAsia="宋体" w:cs="宋体"/>
                <w:sz w:val="24"/>
                <w:szCs w:val="24"/>
                <w:vertAlign w:val="baseline"/>
              </w:rPr>
            </w:pPr>
            <w:r>
              <w:rPr>
                <w:rFonts w:hint="eastAsia" w:ascii="宋体" w:hAnsi="宋体" w:eastAsia="宋体" w:cs="宋体"/>
                <w:sz w:val="24"/>
                <w:szCs w:val="24"/>
              </w:rPr>
              <w:t>根据投标人202</w:t>
            </w:r>
            <w:r>
              <w:rPr>
                <w:rFonts w:hint="eastAsia" w:ascii="宋体" w:hAnsi="宋体" w:eastAsia="宋体" w:cs="宋体"/>
                <w:sz w:val="24"/>
                <w:szCs w:val="24"/>
                <w:lang w:val="en-US" w:eastAsia="zh-CN"/>
              </w:rPr>
              <w:t>1</w:t>
            </w:r>
            <w:r>
              <w:rPr>
                <w:rFonts w:hint="eastAsia" w:ascii="宋体" w:hAnsi="宋体" w:eastAsia="宋体" w:cs="宋体"/>
                <w:sz w:val="24"/>
                <w:szCs w:val="24"/>
              </w:rPr>
              <w:t>年1月1日以来（合同签订日期为准）同类</w:t>
            </w:r>
            <w:r>
              <w:rPr>
                <w:rFonts w:hint="eastAsia" w:ascii="宋体" w:hAnsi="宋体" w:eastAsia="宋体" w:cs="宋体"/>
                <w:sz w:val="24"/>
                <w:szCs w:val="24"/>
                <w:lang w:eastAsia="zh-CN"/>
              </w:rPr>
              <w:t>单过硫酸氢钾消毒粉</w:t>
            </w:r>
            <w:r>
              <w:rPr>
                <w:rFonts w:hint="eastAsia" w:ascii="宋体" w:hAnsi="宋体" w:eastAsia="宋体" w:cs="宋体"/>
                <w:sz w:val="24"/>
                <w:szCs w:val="24"/>
              </w:rPr>
              <w:t>项目（要求合同约定服务期不少于1年）业绩情况进行评分。提供与最终用户签订的销售合同原件扫描件证明，每提供一个满足要求的有效业绩得</w:t>
            </w:r>
            <w:r>
              <w:rPr>
                <w:rFonts w:hint="eastAsia" w:ascii="宋体" w:hAnsi="宋体" w:eastAsia="宋体" w:cs="宋体"/>
                <w:sz w:val="24"/>
                <w:szCs w:val="24"/>
                <w:lang w:val="en-US"/>
              </w:rPr>
              <w:t>3</w:t>
            </w:r>
            <w:r>
              <w:rPr>
                <w:rFonts w:hint="eastAsia" w:ascii="宋体" w:hAnsi="宋体" w:eastAsia="宋体" w:cs="宋体"/>
                <w:sz w:val="24"/>
                <w:szCs w:val="24"/>
              </w:rPr>
              <w:t>分，最高得</w:t>
            </w:r>
            <w:r>
              <w:rPr>
                <w:rFonts w:hint="eastAsia" w:ascii="宋体" w:hAnsi="宋体" w:eastAsia="宋体" w:cs="宋体"/>
                <w:sz w:val="24"/>
                <w:szCs w:val="24"/>
                <w:lang w:val="en-US"/>
              </w:rPr>
              <w:t>3</w:t>
            </w:r>
            <w:r>
              <w:rPr>
                <w:rFonts w:hint="eastAsia" w:ascii="宋体" w:hAnsi="宋体" w:eastAsia="宋体" w:cs="宋体"/>
                <w:sz w:val="24"/>
                <w:szCs w:val="24"/>
              </w:rPr>
              <w:t>分。未提供证明材料的不得分。</w:t>
            </w:r>
          </w:p>
        </w:tc>
        <w:tc>
          <w:tcPr>
            <w:tcW w:w="1060"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客观分</w:t>
            </w:r>
          </w:p>
        </w:tc>
        <w:tc>
          <w:tcPr>
            <w:tcW w:w="856"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r>
    </w:tbl>
    <w:p>
      <w:pPr>
        <w:pStyle w:val="2"/>
        <w:numPr>
          <w:numId w:val="0"/>
        </w:numPr>
      </w:pPr>
      <w:bookmarkStart w:id="12" w:name="_GoBack"/>
      <w:bookmarkEnd w:id="12"/>
    </w:p>
    <w:p>
      <w:pPr>
        <w:spacing w:before="120" w:beforeLines="50" w:after="120" w:afterLines="50"/>
        <w:ind w:firstLine="457" w:firstLineChars="196"/>
        <w:rPr>
          <w:b/>
          <w:bCs/>
          <w:spacing w:val="-4"/>
          <w:sz w:val="24"/>
          <w:szCs w:val="20"/>
        </w:rPr>
      </w:pPr>
      <w:r>
        <w:rPr>
          <w:b/>
          <w:spacing w:val="-4"/>
          <w:sz w:val="24"/>
          <w:szCs w:val="20"/>
        </w:rPr>
        <w:t>2、</w:t>
      </w:r>
      <w:r>
        <w:rPr>
          <w:b/>
          <w:bCs/>
          <w:spacing w:val="-4"/>
          <w:sz w:val="24"/>
          <w:szCs w:val="20"/>
        </w:rPr>
        <w:t>价格分（0-</w:t>
      </w:r>
      <w:r>
        <w:rPr>
          <w:rFonts w:hint="eastAsia"/>
          <w:b/>
          <w:bCs/>
          <w:spacing w:val="-4"/>
          <w:sz w:val="24"/>
          <w:szCs w:val="20"/>
          <w:lang w:val="en-US" w:eastAsia="zh-CN"/>
        </w:rPr>
        <w:t>3</w:t>
      </w:r>
      <w:r>
        <w:rPr>
          <w:rFonts w:hint="eastAsia"/>
          <w:b/>
          <w:bCs/>
          <w:spacing w:val="-4"/>
          <w:sz w:val="24"/>
          <w:szCs w:val="20"/>
        </w:rPr>
        <w:t>0</w:t>
      </w:r>
      <w:r>
        <w:rPr>
          <w:b/>
          <w:bCs/>
          <w:spacing w:val="-4"/>
          <w:sz w:val="24"/>
          <w:szCs w:val="20"/>
        </w:rPr>
        <w:t>分）</w:t>
      </w:r>
    </w:p>
    <w:p>
      <w:pPr>
        <w:spacing w:line="360" w:lineRule="auto"/>
        <w:ind w:firstLine="464" w:firstLineChars="200"/>
        <w:rPr>
          <w:bCs/>
          <w:spacing w:val="-4"/>
          <w:sz w:val="24"/>
        </w:rPr>
      </w:pPr>
      <w:r>
        <w:rPr>
          <w:bCs/>
          <w:spacing w:val="-4"/>
          <w:sz w:val="24"/>
          <w:szCs w:val="20"/>
        </w:rPr>
        <w:t>价格分</w:t>
      </w:r>
      <w:r>
        <w:rPr>
          <w:bCs/>
          <w:spacing w:val="-4"/>
          <w:sz w:val="24"/>
        </w:rPr>
        <w:t>采用低价优先法计算，即满足招标文件要求且投标报价最低的投标报价为评标基准价，其得分为满分</w:t>
      </w:r>
      <w:r>
        <w:rPr>
          <w:rFonts w:hint="eastAsia"/>
          <w:bCs/>
          <w:spacing w:val="-4"/>
          <w:sz w:val="24"/>
          <w:lang w:val="en-US" w:eastAsia="zh-CN"/>
        </w:rPr>
        <w:t>3</w:t>
      </w:r>
      <w:r>
        <w:rPr>
          <w:rFonts w:hint="eastAsia"/>
          <w:bCs/>
          <w:spacing w:val="-4"/>
          <w:sz w:val="24"/>
        </w:rPr>
        <w:t>0</w:t>
      </w:r>
      <w:r>
        <w:rPr>
          <w:bCs/>
          <w:spacing w:val="-4"/>
          <w:sz w:val="24"/>
        </w:rPr>
        <w:t>分。其他投标人的价格分按照下列公式计算：</w:t>
      </w:r>
    </w:p>
    <w:p>
      <w:pPr>
        <w:spacing w:line="360" w:lineRule="auto"/>
        <w:ind w:firstLine="480" w:firstLineChars="200"/>
        <w:rPr>
          <w:sz w:val="24"/>
        </w:rPr>
      </w:pPr>
      <w:r>
        <w:rPr>
          <w:sz w:val="24"/>
        </w:rPr>
        <w:t>价格分=（评标基准价/</w:t>
      </w:r>
      <w:r>
        <w:rPr>
          <w:bCs/>
          <w:spacing w:val="-4"/>
          <w:sz w:val="24"/>
        </w:rPr>
        <w:t>投标报价</w:t>
      </w:r>
      <w:r>
        <w:rPr>
          <w:sz w:val="24"/>
        </w:rPr>
        <w:t>）×</w:t>
      </w:r>
      <w:r>
        <w:rPr>
          <w:rFonts w:hint="eastAsia"/>
          <w:sz w:val="24"/>
          <w:lang w:val="en-US" w:eastAsia="zh-CN"/>
        </w:rPr>
        <w:t>3</w:t>
      </w:r>
      <w:r>
        <w:rPr>
          <w:rFonts w:hint="eastAsia"/>
          <w:sz w:val="24"/>
        </w:rPr>
        <w:t>0</w:t>
      </w:r>
      <w:r>
        <w:rPr>
          <w:sz w:val="24"/>
        </w:rPr>
        <w:t>%×100</w:t>
      </w:r>
    </w:p>
    <w:p>
      <w:pPr>
        <w:numPr>
          <w:ilvl w:val="0"/>
          <w:numId w:val="2"/>
        </w:numPr>
        <w:spacing w:line="360" w:lineRule="auto"/>
        <w:ind w:firstLine="480" w:firstLineChars="200"/>
        <w:rPr>
          <w:sz w:val="24"/>
        </w:rPr>
      </w:pPr>
      <w:r>
        <w:rPr>
          <w:sz w:val="24"/>
        </w:rPr>
        <w:t>投标人的综合得分为以上商务技术分及价格分之和。</w:t>
      </w:r>
    </w:p>
    <w:p>
      <w:pPr>
        <w:jc w:val="center"/>
        <w:outlineLvl w:val="0"/>
        <w:rPr>
          <w:b/>
          <w:sz w:val="30"/>
          <w:szCs w:val="30"/>
        </w:rPr>
      </w:pPr>
      <w:r>
        <w:rPr>
          <w:b/>
          <w:sz w:val="30"/>
          <w:szCs w:val="30"/>
        </w:rPr>
        <w:t>采购合同模板</w:t>
      </w:r>
    </w:p>
    <w:p>
      <w:pPr>
        <w:numPr>
          <w:ilvl w:val="0"/>
          <w:numId w:val="3"/>
        </w:numPr>
        <w:spacing w:line="360" w:lineRule="auto"/>
        <w:rPr>
          <w:b/>
          <w:bCs/>
          <w:szCs w:val="21"/>
        </w:rPr>
      </w:pPr>
      <w:r>
        <w:rPr>
          <w:b/>
          <w:bCs/>
          <w:szCs w:val="21"/>
        </w:rPr>
        <w:t>定义：</w:t>
      </w:r>
    </w:p>
    <w:p>
      <w:pPr>
        <w:spacing w:line="360" w:lineRule="auto"/>
        <w:ind w:firstLine="420" w:firstLineChars="200"/>
        <w:rPr>
          <w:szCs w:val="21"/>
        </w:rPr>
      </w:pPr>
      <w:r>
        <w:rPr>
          <w:szCs w:val="21"/>
        </w:rPr>
        <w:t>本合同下列述语应解释为：</w:t>
      </w:r>
    </w:p>
    <w:p>
      <w:pPr>
        <w:numPr>
          <w:ilvl w:val="1"/>
          <w:numId w:val="3"/>
        </w:numPr>
        <w:tabs>
          <w:tab w:val="left" w:pos="540"/>
          <w:tab w:val="left" w:pos="851"/>
        </w:tabs>
        <w:spacing w:line="360" w:lineRule="auto"/>
        <w:ind w:left="540" w:hanging="540"/>
        <w:rPr>
          <w:sz w:val="22"/>
          <w:szCs w:val="22"/>
        </w:rPr>
      </w:pPr>
      <w:r>
        <w:rPr>
          <w:spacing w:val="6"/>
          <w:szCs w:val="21"/>
        </w:rPr>
        <w:t>“</w:t>
      </w:r>
      <w:r>
        <w:rPr>
          <w:sz w:val="22"/>
          <w:szCs w:val="22"/>
        </w:rPr>
        <w:t>合同”即由甲乙方双方签订的合同格式中的文件，包括所有的附件、附录和组成合同部分的所有其他文件。</w:t>
      </w:r>
    </w:p>
    <w:p>
      <w:pPr>
        <w:tabs>
          <w:tab w:val="left" w:pos="540"/>
          <w:tab w:val="left" w:pos="567"/>
        </w:tabs>
        <w:spacing w:line="360" w:lineRule="auto"/>
        <w:ind w:left="540"/>
        <w:rPr>
          <w:sz w:val="22"/>
          <w:szCs w:val="22"/>
        </w:rPr>
      </w:pPr>
      <w:r>
        <w:rPr>
          <w:sz w:val="22"/>
          <w:szCs w:val="22"/>
        </w:rPr>
        <w:t>合同将由</w:t>
      </w:r>
      <w:r>
        <w:rPr>
          <w:rFonts w:hint="eastAsia"/>
          <w:sz w:val="22"/>
          <w:szCs w:val="22"/>
          <w:lang w:val="en-US" w:eastAsia="zh-CN"/>
        </w:rPr>
        <w:t>瑞安市妇幼保健院</w:t>
      </w:r>
      <w:r>
        <w:rPr>
          <w:sz w:val="22"/>
          <w:szCs w:val="22"/>
        </w:rPr>
        <w:t>（以下简称甲方）与经评审最终确定的中标人（以下简称乙方）结合本项目具体情况协商后签订。以下为采购人提出涉及乙方的主要条款，投标人在投标文件中应对其进行确认或拒绝。如投标人在其投标文件中未做拒绝或提出修改要求的，采购人将视作认同。</w:t>
      </w:r>
    </w:p>
    <w:p>
      <w:pPr>
        <w:numPr>
          <w:ilvl w:val="1"/>
          <w:numId w:val="3"/>
        </w:numPr>
        <w:tabs>
          <w:tab w:val="left" w:pos="540"/>
        </w:tabs>
        <w:spacing w:line="360" w:lineRule="auto"/>
        <w:ind w:left="540" w:hanging="540"/>
        <w:rPr>
          <w:szCs w:val="21"/>
        </w:rPr>
      </w:pPr>
      <w:r>
        <w:rPr>
          <w:b/>
          <w:bCs/>
          <w:szCs w:val="21"/>
        </w:rPr>
        <w:t>“合同价”是指根据本合同规定，乙方在正确地完全履行合同义务后甲方应支付给乙方的价款。包括但不限于制造、货物款、装卸、运输、税金、保险、检测验收（含第三方检测验收）、售后服务、质保期保障、招标代理服务费及其他不可预见费等全部费用，实行固定费用总包干。</w:t>
      </w:r>
    </w:p>
    <w:p>
      <w:pPr>
        <w:numPr>
          <w:ilvl w:val="1"/>
          <w:numId w:val="3"/>
        </w:numPr>
        <w:tabs>
          <w:tab w:val="left" w:pos="540"/>
        </w:tabs>
        <w:spacing w:line="360" w:lineRule="auto"/>
        <w:ind w:left="540" w:hanging="540"/>
        <w:rPr>
          <w:szCs w:val="21"/>
        </w:rPr>
      </w:pPr>
      <w:r>
        <w:rPr>
          <w:szCs w:val="21"/>
        </w:rPr>
        <w:t>“货物”是指根据合同规定须向甲方提供的一切产品和其它材料。</w:t>
      </w:r>
    </w:p>
    <w:p>
      <w:pPr>
        <w:numPr>
          <w:ilvl w:val="1"/>
          <w:numId w:val="3"/>
        </w:numPr>
        <w:tabs>
          <w:tab w:val="left" w:pos="540"/>
        </w:tabs>
        <w:spacing w:line="360" w:lineRule="auto"/>
        <w:ind w:left="540" w:hanging="540"/>
        <w:rPr>
          <w:szCs w:val="21"/>
        </w:rPr>
      </w:pPr>
      <w:r>
        <w:rPr>
          <w:szCs w:val="21"/>
        </w:rPr>
        <w:t>“服务”是指根据合同规定乙方承担与供货有关的辅助服务，如运输、保险以及其它的伴随服务，例如三包、提供技术协助和合同中规定乙方应承担的其它义务。</w:t>
      </w:r>
    </w:p>
    <w:p>
      <w:pPr>
        <w:numPr>
          <w:ilvl w:val="1"/>
          <w:numId w:val="3"/>
        </w:numPr>
        <w:tabs>
          <w:tab w:val="left" w:pos="540"/>
        </w:tabs>
        <w:spacing w:line="360" w:lineRule="auto"/>
        <w:ind w:left="540" w:hanging="540"/>
        <w:rPr>
          <w:szCs w:val="21"/>
        </w:rPr>
      </w:pPr>
      <w:r>
        <w:rPr>
          <w:szCs w:val="21"/>
        </w:rPr>
        <w:t>“现场”是指合同项下货物将要进行运送的地点。</w:t>
      </w:r>
    </w:p>
    <w:p>
      <w:pPr>
        <w:numPr>
          <w:ilvl w:val="1"/>
          <w:numId w:val="3"/>
        </w:numPr>
        <w:tabs>
          <w:tab w:val="left" w:pos="540"/>
        </w:tabs>
        <w:spacing w:line="360" w:lineRule="auto"/>
        <w:ind w:left="540" w:hanging="540"/>
        <w:rPr>
          <w:szCs w:val="21"/>
        </w:rPr>
      </w:pPr>
      <w:r>
        <w:rPr>
          <w:szCs w:val="21"/>
        </w:rPr>
        <w:t>“验收”是指合同双方依据规定的程序和条件确认合同项下的货物符合技术规范的要求。</w:t>
      </w:r>
    </w:p>
    <w:p>
      <w:pPr>
        <w:numPr>
          <w:ilvl w:val="0"/>
          <w:numId w:val="3"/>
        </w:numPr>
        <w:spacing w:line="360" w:lineRule="auto"/>
        <w:ind w:left="540" w:hanging="540"/>
        <w:rPr>
          <w:szCs w:val="21"/>
        </w:rPr>
      </w:pPr>
      <w:r>
        <w:rPr>
          <w:b/>
          <w:bCs/>
          <w:szCs w:val="21"/>
        </w:rPr>
        <w:t>标准</w:t>
      </w:r>
    </w:p>
    <w:p>
      <w:pPr>
        <w:numPr>
          <w:ilvl w:val="1"/>
          <w:numId w:val="3"/>
        </w:numPr>
        <w:tabs>
          <w:tab w:val="left" w:pos="540"/>
          <w:tab w:val="left" w:pos="992"/>
        </w:tabs>
        <w:spacing w:line="360" w:lineRule="auto"/>
        <w:ind w:left="540" w:hanging="540"/>
        <w:rPr>
          <w:szCs w:val="21"/>
        </w:rPr>
      </w:pPr>
      <w:r>
        <w:rPr>
          <w:szCs w:val="21"/>
        </w:rPr>
        <w:t>本合同项下交付的货物应符合技术规格所述的标准。如在招标文件中无相应说明，则以国家颁布的最新版本标准或行业（部）标准或相应的国际标准执行，没有国家或行业（部）标准的则按企业标准执行。</w:t>
      </w:r>
    </w:p>
    <w:p>
      <w:pPr>
        <w:numPr>
          <w:ilvl w:val="1"/>
          <w:numId w:val="3"/>
        </w:numPr>
        <w:tabs>
          <w:tab w:val="left" w:pos="540"/>
          <w:tab w:val="left" w:pos="992"/>
        </w:tabs>
        <w:spacing w:line="360" w:lineRule="auto"/>
        <w:ind w:left="540" w:hanging="540"/>
        <w:rPr>
          <w:szCs w:val="21"/>
        </w:rPr>
      </w:pPr>
      <w:r>
        <w:rPr>
          <w:szCs w:val="21"/>
        </w:rPr>
        <w:t>除非技术规格中另有规定，计量单位均采用中华人民共和国法定计量单位。</w:t>
      </w:r>
    </w:p>
    <w:p>
      <w:pPr>
        <w:numPr>
          <w:ilvl w:val="0"/>
          <w:numId w:val="3"/>
        </w:numPr>
        <w:spacing w:line="360" w:lineRule="auto"/>
        <w:ind w:left="540" w:hanging="540"/>
        <w:rPr>
          <w:szCs w:val="21"/>
        </w:rPr>
      </w:pPr>
      <w:r>
        <w:rPr>
          <w:b/>
          <w:bCs/>
          <w:szCs w:val="21"/>
        </w:rPr>
        <w:t>专利权</w:t>
      </w:r>
    </w:p>
    <w:p>
      <w:pPr>
        <w:numPr>
          <w:ilvl w:val="1"/>
          <w:numId w:val="3"/>
        </w:numPr>
        <w:tabs>
          <w:tab w:val="left" w:pos="540"/>
          <w:tab w:val="left" w:pos="992"/>
        </w:tabs>
        <w:spacing w:line="360" w:lineRule="auto"/>
        <w:ind w:left="540" w:hanging="540"/>
        <w:rPr>
          <w:szCs w:val="21"/>
        </w:rPr>
      </w:pPr>
      <w:r>
        <w:rPr>
          <w:szCs w:val="21"/>
        </w:rPr>
        <w:t>乙方应保证，甲方在使用该货物或货物的任何一部分时，免受第三方提出的侵犯其专利权、商标权、著作权或其它知识产权的起诉。乙方应承担由此可能产生的一切法律责任和费用。</w:t>
      </w:r>
    </w:p>
    <w:p>
      <w:pPr>
        <w:numPr>
          <w:ilvl w:val="0"/>
          <w:numId w:val="3"/>
        </w:numPr>
        <w:spacing w:line="360" w:lineRule="auto"/>
        <w:ind w:left="540" w:hanging="540"/>
        <w:rPr>
          <w:b/>
          <w:szCs w:val="21"/>
        </w:rPr>
      </w:pPr>
      <w:r>
        <w:rPr>
          <w:b/>
          <w:szCs w:val="21"/>
        </w:rPr>
        <w:t>包装要求</w:t>
      </w:r>
    </w:p>
    <w:p>
      <w:pPr>
        <w:numPr>
          <w:ilvl w:val="1"/>
          <w:numId w:val="3"/>
        </w:numPr>
        <w:tabs>
          <w:tab w:val="left" w:pos="540"/>
          <w:tab w:val="left" w:pos="992"/>
        </w:tabs>
        <w:spacing w:line="360" w:lineRule="auto"/>
        <w:ind w:left="540" w:hanging="540"/>
        <w:rPr>
          <w:szCs w:val="21"/>
        </w:rPr>
      </w:pPr>
      <w:r>
        <w:rPr>
          <w:szCs w:val="21"/>
        </w:rPr>
        <w:t>除合同另有规定外，乙方应提供货物运至合同规定的最终目的地所需要的包装，以防止货物在转运中损坏或变质。这类包装应采取防潮、防晒、防锈、防腐蚀、防震动及防止其他损坏的必要保护措施，从而保护货物能够经受多次搬运、装卸储存等并充分考虑到运输途中的各种复杂情况（例如恶劣天气）和温州地区气候特点、以及露天存放问题。乙方应承担由于其包装或其防护措施不妥而引起货物锈蚀、损坏和丢失的任何损失的责任或费用。</w:t>
      </w:r>
    </w:p>
    <w:p>
      <w:pPr>
        <w:numPr>
          <w:ilvl w:val="1"/>
          <w:numId w:val="3"/>
        </w:numPr>
        <w:tabs>
          <w:tab w:val="left" w:pos="540"/>
          <w:tab w:val="left" w:pos="992"/>
        </w:tabs>
        <w:spacing w:line="360" w:lineRule="auto"/>
        <w:ind w:left="540" w:hanging="540"/>
        <w:rPr>
          <w:szCs w:val="21"/>
        </w:rPr>
      </w:pPr>
      <w:r>
        <w:rPr>
          <w:szCs w:val="21"/>
        </w:rPr>
        <w:t>每一包装箱内必须附有装箱清单、合格证和齐全的技术资料等。</w:t>
      </w:r>
    </w:p>
    <w:p>
      <w:pPr>
        <w:numPr>
          <w:ilvl w:val="0"/>
          <w:numId w:val="3"/>
        </w:numPr>
        <w:spacing w:line="360" w:lineRule="auto"/>
        <w:ind w:left="540" w:hanging="540"/>
        <w:rPr>
          <w:szCs w:val="21"/>
        </w:rPr>
      </w:pPr>
      <w:r>
        <w:rPr>
          <w:b/>
          <w:szCs w:val="21"/>
        </w:rPr>
        <w:t>装运标记</w:t>
      </w:r>
    </w:p>
    <w:p>
      <w:pPr>
        <w:numPr>
          <w:ilvl w:val="1"/>
          <w:numId w:val="3"/>
        </w:numPr>
        <w:tabs>
          <w:tab w:val="left" w:pos="540"/>
          <w:tab w:val="left" w:pos="992"/>
        </w:tabs>
        <w:spacing w:line="360" w:lineRule="auto"/>
        <w:ind w:left="540" w:hanging="540"/>
        <w:rPr>
          <w:szCs w:val="21"/>
        </w:rPr>
      </w:pPr>
      <w:r>
        <w:rPr>
          <w:szCs w:val="21"/>
        </w:rPr>
        <w:t>乙方应在每一包装箱相邻的四侧用不可擦除的油漆以醒目的中文字样标注下列标记：</w:t>
      </w:r>
    </w:p>
    <w:p>
      <w:pPr>
        <w:spacing w:line="360" w:lineRule="auto"/>
        <w:ind w:left="-1" w:firstLine="514" w:firstLineChars="245"/>
        <w:rPr>
          <w:szCs w:val="21"/>
        </w:rPr>
      </w:pPr>
      <w:r>
        <w:rPr>
          <w:szCs w:val="21"/>
        </w:rPr>
        <w:t>1）   收货人</w:t>
      </w:r>
      <w:r>
        <w:rPr>
          <w:szCs w:val="21"/>
          <w:u w:val="single"/>
        </w:rPr>
        <w:t xml:space="preserve">                                            </w:t>
      </w:r>
    </w:p>
    <w:p>
      <w:pPr>
        <w:spacing w:line="360" w:lineRule="auto"/>
        <w:ind w:firstLine="514" w:firstLineChars="245"/>
        <w:rPr>
          <w:szCs w:val="21"/>
        </w:rPr>
      </w:pPr>
      <w:r>
        <w:rPr>
          <w:szCs w:val="21"/>
        </w:rPr>
        <w:t>2）   货物名称和箱号</w:t>
      </w:r>
      <w:r>
        <w:rPr>
          <w:szCs w:val="21"/>
          <w:u w:val="single"/>
        </w:rPr>
        <w:t xml:space="preserve">                                    </w:t>
      </w:r>
    </w:p>
    <w:p>
      <w:pPr>
        <w:spacing w:line="360" w:lineRule="auto"/>
        <w:ind w:firstLine="514" w:firstLineChars="245"/>
        <w:rPr>
          <w:szCs w:val="21"/>
        </w:rPr>
      </w:pPr>
      <w:r>
        <w:rPr>
          <w:szCs w:val="21"/>
        </w:rPr>
        <w:t>3）   合同号</w:t>
      </w:r>
      <w:r>
        <w:rPr>
          <w:szCs w:val="21"/>
          <w:u w:val="single"/>
        </w:rPr>
        <w:t xml:space="preserve">                                            </w:t>
      </w:r>
    </w:p>
    <w:p>
      <w:pPr>
        <w:spacing w:line="360" w:lineRule="auto"/>
        <w:ind w:firstLine="514" w:firstLineChars="245"/>
        <w:rPr>
          <w:szCs w:val="21"/>
        </w:rPr>
      </w:pPr>
      <w:r>
        <w:rPr>
          <w:szCs w:val="21"/>
        </w:rPr>
        <w:t>4）   发货标记（唛头）</w:t>
      </w:r>
      <w:r>
        <w:rPr>
          <w:szCs w:val="21"/>
          <w:u w:val="single"/>
        </w:rPr>
        <w:t xml:space="preserve">                                  </w:t>
      </w:r>
    </w:p>
    <w:p>
      <w:pPr>
        <w:spacing w:line="360" w:lineRule="auto"/>
        <w:ind w:firstLine="514" w:firstLineChars="245"/>
        <w:rPr>
          <w:szCs w:val="21"/>
        </w:rPr>
      </w:pPr>
      <w:r>
        <w:rPr>
          <w:szCs w:val="21"/>
        </w:rPr>
        <w:t>5）   到达站或到货地点</w:t>
      </w:r>
      <w:r>
        <w:rPr>
          <w:szCs w:val="21"/>
          <w:u w:val="single"/>
        </w:rPr>
        <w:t xml:space="preserve">                                  </w:t>
      </w:r>
    </w:p>
    <w:p>
      <w:pPr>
        <w:spacing w:line="360" w:lineRule="auto"/>
        <w:ind w:firstLine="514" w:firstLineChars="245"/>
        <w:rPr>
          <w:szCs w:val="21"/>
        </w:rPr>
      </w:pPr>
      <w:r>
        <w:rPr>
          <w:szCs w:val="21"/>
        </w:rPr>
        <w:t>6）   外型尺寸（长×宽×高用厘米表示）</w:t>
      </w:r>
      <w:r>
        <w:rPr>
          <w:szCs w:val="21"/>
          <w:u w:val="single"/>
        </w:rPr>
        <w:t xml:space="preserve">                  </w:t>
      </w:r>
    </w:p>
    <w:p>
      <w:pPr>
        <w:spacing w:line="360" w:lineRule="auto"/>
        <w:ind w:firstLine="514" w:firstLineChars="245"/>
        <w:rPr>
          <w:szCs w:val="21"/>
        </w:rPr>
      </w:pPr>
      <w:r>
        <w:rPr>
          <w:szCs w:val="21"/>
        </w:rPr>
        <w:t>7）   毛重/净重（用公斤表示）</w:t>
      </w:r>
      <w:r>
        <w:rPr>
          <w:szCs w:val="21"/>
          <w:u w:val="single"/>
        </w:rPr>
        <w:t xml:space="preserve">                           </w:t>
      </w:r>
    </w:p>
    <w:p>
      <w:pPr>
        <w:numPr>
          <w:ilvl w:val="1"/>
          <w:numId w:val="3"/>
        </w:numPr>
        <w:tabs>
          <w:tab w:val="left" w:pos="540"/>
          <w:tab w:val="left" w:pos="992"/>
        </w:tabs>
        <w:spacing w:line="360" w:lineRule="auto"/>
        <w:ind w:left="540" w:hanging="540"/>
        <w:rPr>
          <w:szCs w:val="21"/>
        </w:rPr>
      </w:pPr>
      <w:r>
        <w:rPr>
          <w:szCs w:val="21"/>
        </w:rPr>
        <w:t>如果货物单件重量在2吨或2吨以上，乙方应在包装箱的两侧用中文和国际贸易通用的运输标记标注，“重心”和“吊装点”以便装卸和搬运。同时根据货物的特点和运输的不同要求，乙方还应在包装箱上清楚地标注“小心轻放”、“防潮”、“此端向上”、“请勿倒置”“保持干燥”等字样和其他国际贸易中使用的适当标志。</w:t>
      </w:r>
    </w:p>
    <w:p>
      <w:pPr>
        <w:numPr>
          <w:ilvl w:val="0"/>
          <w:numId w:val="3"/>
        </w:numPr>
        <w:spacing w:line="360" w:lineRule="auto"/>
        <w:ind w:left="540" w:hanging="540"/>
        <w:rPr>
          <w:szCs w:val="21"/>
        </w:rPr>
      </w:pPr>
      <w:r>
        <w:rPr>
          <w:b/>
          <w:szCs w:val="21"/>
        </w:rPr>
        <w:t>交货方式：</w:t>
      </w:r>
    </w:p>
    <w:p>
      <w:pPr>
        <w:numPr>
          <w:ilvl w:val="1"/>
          <w:numId w:val="3"/>
        </w:numPr>
        <w:tabs>
          <w:tab w:val="left" w:pos="540"/>
          <w:tab w:val="left" w:pos="992"/>
        </w:tabs>
        <w:spacing w:line="360" w:lineRule="auto"/>
        <w:ind w:left="540" w:hanging="540"/>
        <w:rPr>
          <w:szCs w:val="21"/>
        </w:rPr>
      </w:pPr>
      <w:r>
        <w:rPr>
          <w:szCs w:val="21"/>
        </w:rPr>
        <w:t>现场交货：乙方负责办理运输和保险，将货物运抵甲方指定的现场并落地就位。有关运输和保险的一切费用由乙方承担。所有货物运抵现场的日期为交货日期。</w:t>
      </w:r>
    </w:p>
    <w:p>
      <w:pPr>
        <w:numPr>
          <w:ilvl w:val="1"/>
          <w:numId w:val="3"/>
        </w:numPr>
        <w:tabs>
          <w:tab w:val="left" w:pos="540"/>
          <w:tab w:val="left" w:pos="992"/>
        </w:tabs>
        <w:spacing w:line="360" w:lineRule="auto"/>
        <w:ind w:left="540" w:hanging="540"/>
        <w:rPr>
          <w:szCs w:val="21"/>
        </w:rPr>
      </w:pPr>
      <w:r>
        <w:rPr>
          <w:szCs w:val="21"/>
        </w:rPr>
        <w:t>在现场交货条件下，乙方在货物发运前1天，将要发运货物的合同号、货物名称、规格、数量、包装箱件数、重量、包装箱尺寸（长×宽×高）和货物的卸车，贮存的特殊要求以及运输工具名称以及启运日期，以传真形式通知甲方。</w:t>
      </w:r>
    </w:p>
    <w:p>
      <w:pPr>
        <w:numPr>
          <w:ilvl w:val="1"/>
          <w:numId w:val="3"/>
        </w:numPr>
        <w:tabs>
          <w:tab w:val="left" w:pos="540"/>
          <w:tab w:val="left" w:pos="992"/>
        </w:tabs>
        <w:spacing w:line="360" w:lineRule="auto"/>
        <w:ind w:left="540" w:hanging="540"/>
        <w:rPr>
          <w:szCs w:val="21"/>
        </w:rPr>
      </w:pPr>
      <w:r>
        <w:rPr>
          <w:szCs w:val="21"/>
        </w:rPr>
        <w:t>如因乙方延误将上述内容用传真形式通知甲方，由此引起的一切损失应由乙方承担。</w:t>
      </w:r>
    </w:p>
    <w:p>
      <w:pPr>
        <w:numPr>
          <w:ilvl w:val="0"/>
          <w:numId w:val="3"/>
        </w:numPr>
        <w:spacing w:line="360" w:lineRule="auto"/>
        <w:ind w:left="540" w:hanging="540"/>
        <w:rPr>
          <w:b/>
          <w:szCs w:val="21"/>
        </w:rPr>
      </w:pPr>
      <w:r>
        <w:rPr>
          <w:b/>
          <w:szCs w:val="21"/>
        </w:rPr>
        <w:t>供货方式及期限：</w:t>
      </w:r>
    </w:p>
    <w:p>
      <w:pPr>
        <w:numPr>
          <w:ilvl w:val="1"/>
          <w:numId w:val="3"/>
        </w:numPr>
        <w:tabs>
          <w:tab w:val="left" w:pos="540"/>
          <w:tab w:val="left" w:pos="992"/>
        </w:tabs>
        <w:spacing w:line="360" w:lineRule="auto"/>
        <w:ind w:left="540" w:hanging="540"/>
        <w:rPr>
          <w:b/>
          <w:szCs w:val="21"/>
        </w:rPr>
      </w:pPr>
      <w:r>
        <w:rPr>
          <w:szCs w:val="21"/>
        </w:rPr>
        <w:t>合同生效后，乙方需为甲方准备所需的货物数量，由乙方负责将货物运送至指定的地点。运输过程中发生的成本及风险由乙方承担。乙方未准备所需数量的货物或超过规定时间仍未送货的，甲方有权按照违约责任处理。 供应时间自协议签订之日起1年（12个月）。如采购金额达到协议金额或协议期满，即视为协议完全履行完毕，双方的协议将自动终止。</w:t>
      </w:r>
    </w:p>
    <w:p>
      <w:pPr>
        <w:numPr>
          <w:ilvl w:val="0"/>
          <w:numId w:val="3"/>
        </w:numPr>
        <w:spacing w:line="360" w:lineRule="auto"/>
        <w:ind w:left="540" w:hanging="540"/>
        <w:rPr>
          <w:b/>
          <w:szCs w:val="21"/>
        </w:rPr>
      </w:pPr>
      <w:r>
        <w:rPr>
          <w:szCs w:val="21"/>
        </w:rPr>
        <w:t>最终验收</w:t>
      </w:r>
    </w:p>
    <w:p>
      <w:pPr>
        <w:tabs>
          <w:tab w:val="left" w:pos="540"/>
          <w:tab w:val="left" w:pos="567"/>
          <w:tab w:val="left" w:pos="1722"/>
        </w:tabs>
        <w:spacing w:line="360" w:lineRule="auto"/>
        <w:ind w:left="540"/>
        <w:rPr>
          <w:szCs w:val="21"/>
        </w:rPr>
      </w:pPr>
      <w:r>
        <w:rPr>
          <w:szCs w:val="21"/>
        </w:rPr>
        <w:t>乙方将货物运送至指定的地点，经有关部门检验合格后，配合甲方货物存放、入库等工作。</w:t>
      </w:r>
    </w:p>
    <w:p>
      <w:pPr>
        <w:numPr>
          <w:ilvl w:val="0"/>
          <w:numId w:val="3"/>
        </w:numPr>
        <w:spacing w:line="360" w:lineRule="auto"/>
        <w:ind w:left="540" w:hanging="540"/>
        <w:rPr>
          <w:b/>
          <w:szCs w:val="21"/>
        </w:rPr>
      </w:pPr>
      <w:r>
        <w:rPr>
          <w:b/>
          <w:szCs w:val="21"/>
        </w:rPr>
        <w:t xml:space="preserve">付款方式  </w:t>
      </w:r>
    </w:p>
    <w:p>
      <w:pPr>
        <w:numPr>
          <w:ilvl w:val="1"/>
          <w:numId w:val="3"/>
        </w:numPr>
        <w:tabs>
          <w:tab w:val="left" w:pos="540"/>
          <w:tab w:val="left" w:pos="992"/>
        </w:tabs>
        <w:spacing w:line="360" w:lineRule="auto"/>
        <w:rPr>
          <w:b/>
          <w:szCs w:val="21"/>
        </w:rPr>
      </w:pPr>
      <w:r>
        <w:rPr>
          <w:b/>
          <w:szCs w:val="21"/>
        </w:rPr>
        <w:t>本项目产品各项单价：</w:t>
      </w:r>
    </w:p>
    <w:tbl>
      <w:tblPr>
        <w:tblStyle w:val="4"/>
        <w:tblW w:w="0" w:type="auto"/>
        <w:tblInd w:w="2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7"/>
        <w:gridCol w:w="1016"/>
        <w:gridCol w:w="1185"/>
        <w:gridCol w:w="1185"/>
        <w:gridCol w:w="2127"/>
        <w:gridCol w:w="1058"/>
        <w:gridCol w:w="1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7" w:type="dxa"/>
            <w:shd w:val="clear" w:color="auto" w:fill="D9D9D9"/>
            <w:noWrap w:val="0"/>
            <w:vAlign w:val="center"/>
          </w:tcPr>
          <w:p>
            <w:pPr>
              <w:spacing w:line="360" w:lineRule="auto"/>
              <w:jc w:val="center"/>
              <w:rPr>
                <w:b/>
                <w:szCs w:val="21"/>
              </w:rPr>
            </w:pPr>
            <w:r>
              <w:rPr>
                <w:b/>
                <w:szCs w:val="21"/>
              </w:rPr>
              <w:t>序号</w:t>
            </w:r>
          </w:p>
        </w:tc>
        <w:tc>
          <w:tcPr>
            <w:tcW w:w="1016" w:type="dxa"/>
            <w:shd w:val="clear" w:color="auto" w:fill="D9D9D9"/>
            <w:noWrap w:val="0"/>
            <w:vAlign w:val="center"/>
          </w:tcPr>
          <w:p>
            <w:pPr>
              <w:spacing w:line="360" w:lineRule="auto"/>
              <w:jc w:val="center"/>
              <w:rPr>
                <w:b/>
                <w:szCs w:val="21"/>
              </w:rPr>
            </w:pPr>
            <w:r>
              <w:rPr>
                <w:b/>
                <w:szCs w:val="21"/>
              </w:rPr>
              <w:t>产品名称</w:t>
            </w:r>
          </w:p>
        </w:tc>
        <w:tc>
          <w:tcPr>
            <w:tcW w:w="1185" w:type="dxa"/>
            <w:shd w:val="clear" w:color="auto" w:fill="D9D9D9"/>
            <w:noWrap w:val="0"/>
            <w:vAlign w:val="center"/>
          </w:tcPr>
          <w:p>
            <w:pPr>
              <w:jc w:val="center"/>
              <w:rPr>
                <w:b/>
                <w:szCs w:val="21"/>
              </w:rPr>
            </w:pPr>
            <w:r>
              <w:rPr>
                <w:b/>
                <w:szCs w:val="21"/>
              </w:rPr>
              <w:t>包装单位</w:t>
            </w:r>
          </w:p>
        </w:tc>
        <w:tc>
          <w:tcPr>
            <w:tcW w:w="1185" w:type="dxa"/>
            <w:shd w:val="clear" w:color="auto" w:fill="D9D9D9"/>
            <w:noWrap w:val="0"/>
            <w:vAlign w:val="center"/>
          </w:tcPr>
          <w:p>
            <w:pPr>
              <w:jc w:val="center"/>
              <w:rPr>
                <w:b/>
                <w:szCs w:val="21"/>
              </w:rPr>
            </w:pPr>
            <w:r>
              <w:rPr>
                <w:b/>
                <w:szCs w:val="21"/>
              </w:rPr>
              <w:t>单价</w:t>
            </w:r>
          </w:p>
          <w:p>
            <w:pPr>
              <w:jc w:val="center"/>
              <w:rPr>
                <w:b/>
                <w:szCs w:val="21"/>
              </w:rPr>
            </w:pPr>
            <w:r>
              <w:rPr>
                <w:b/>
                <w:szCs w:val="21"/>
              </w:rPr>
              <w:t>（元）</w:t>
            </w:r>
          </w:p>
        </w:tc>
        <w:tc>
          <w:tcPr>
            <w:tcW w:w="2127" w:type="dxa"/>
            <w:shd w:val="clear" w:color="auto" w:fill="D9D9D9"/>
            <w:noWrap w:val="0"/>
            <w:vAlign w:val="center"/>
          </w:tcPr>
          <w:p>
            <w:pPr>
              <w:spacing w:line="360" w:lineRule="auto"/>
              <w:jc w:val="center"/>
              <w:rPr>
                <w:b/>
                <w:szCs w:val="21"/>
              </w:rPr>
            </w:pPr>
            <w:r>
              <w:rPr>
                <w:b/>
                <w:szCs w:val="21"/>
              </w:rPr>
              <w:t>产品规格</w:t>
            </w:r>
          </w:p>
        </w:tc>
        <w:tc>
          <w:tcPr>
            <w:tcW w:w="1058" w:type="dxa"/>
            <w:shd w:val="clear" w:color="auto" w:fill="D9D9D9"/>
            <w:noWrap w:val="0"/>
            <w:vAlign w:val="center"/>
          </w:tcPr>
          <w:p>
            <w:pPr>
              <w:spacing w:line="360" w:lineRule="auto"/>
              <w:jc w:val="center"/>
              <w:rPr>
                <w:b/>
                <w:szCs w:val="21"/>
              </w:rPr>
            </w:pPr>
            <w:r>
              <w:rPr>
                <w:b/>
                <w:szCs w:val="21"/>
              </w:rPr>
              <w:t>颜色</w:t>
            </w:r>
          </w:p>
        </w:tc>
        <w:tc>
          <w:tcPr>
            <w:tcW w:w="1926" w:type="dxa"/>
            <w:shd w:val="clear" w:color="auto" w:fill="D9D9D9"/>
            <w:noWrap w:val="0"/>
            <w:vAlign w:val="center"/>
          </w:tcPr>
          <w:p>
            <w:pPr>
              <w:spacing w:line="360" w:lineRule="auto"/>
              <w:jc w:val="center"/>
              <w:rPr>
                <w:b/>
                <w:szCs w:val="21"/>
              </w:rPr>
            </w:pPr>
            <w:r>
              <w:rPr>
                <w:b/>
                <w:szCs w:val="21"/>
              </w:rPr>
              <w:t>图样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7" w:type="dxa"/>
            <w:noWrap w:val="0"/>
            <w:vAlign w:val="center"/>
          </w:tcPr>
          <w:p>
            <w:pPr>
              <w:spacing w:line="360" w:lineRule="auto"/>
              <w:jc w:val="center"/>
              <w:rPr>
                <w:szCs w:val="21"/>
              </w:rPr>
            </w:pPr>
          </w:p>
        </w:tc>
        <w:tc>
          <w:tcPr>
            <w:tcW w:w="1016" w:type="dxa"/>
            <w:noWrap w:val="0"/>
            <w:vAlign w:val="center"/>
          </w:tcPr>
          <w:p>
            <w:pPr>
              <w:spacing w:after="120" w:afterLines="50" w:line="440" w:lineRule="exact"/>
              <w:jc w:val="center"/>
              <w:rPr>
                <w:b/>
                <w:szCs w:val="21"/>
              </w:rPr>
            </w:pPr>
          </w:p>
        </w:tc>
        <w:tc>
          <w:tcPr>
            <w:tcW w:w="1185" w:type="dxa"/>
            <w:noWrap w:val="0"/>
            <w:vAlign w:val="top"/>
          </w:tcPr>
          <w:p>
            <w:pPr>
              <w:spacing w:line="360" w:lineRule="auto"/>
              <w:jc w:val="center"/>
              <w:rPr>
                <w:szCs w:val="21"/>
              </w:rPr>
            </w:pPr>
          </w:p>
        </w:tc>
        <w:tc>
          <w:tcPr>
            <w:tcW w:w="1185" w:type="dxa"/>
            <w:noWrap w:val="0"/>
            <w:vAlign w:val="top"/>
          </w:tcPr>
          <w:p>
            <w:pPr>
              <w:spacing w:line="360" w:lineRule="auto"/>
              <w:jc w:val="center"/>
              <w:rPr>
                <w:szCs w:val="21"/>
              </w:rPr>
            </w:pPr>
          </w:p>
        </w:tc>
        <w:tc>
          <w:tcPr>
            <w:tcW w:w="2127" w:type="dxa"/>
            <w:noWrap w:val="0"/>
            <w:vAlign w:val="center"/>
          </w:tcPr>
          <w:p>
            <w:pPr>
              <w:jc w:val="center"/>
              <w:rPr>
                <w:szCs w:val="21"/>
              </w:rPr>
            </w:pPr>
          </w:p>
        </w:tc>
        <w:tc>
          <w:tcPr>
            <w:tcW w:w="1058" w:type="dxa"/>
            <w:noWrap w:val="0"/>
            <w:vAlign w:val="center"/>
          </w:tcPr>
          <w:p>
            <w:pPr>
              <w:spacing w:line="360" w:lineRule="auto"/>
              <w:jc w:val="center"/>
              <w:rPr>
                <w:szCs w:val="21"/>
              </w:rPr>
            </w:pPr>
          </w:p>
        </w:tc>
        <w:tc>
          <w:tcPr>
            <w:tcW w:w="1926" w:type="dxa"/>
            <w:noWrap w:val="0"/>
            <w:vAlign w:val="center"/>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7" w:type="dxa"/>
            <w:noWrap w:val="0"/>
            <w:vAlign w:val="center"/>
          </w:tcPr>
          <w:p>
            <w:pPr>
              <w:spacing w:line="360" w:lineRule="auto"/>
              <w:jc w:val="center"/>
              <w:rPr>
                <w:szCs w:val="21"/>
              </w:rPr>
            </w:pPr>
          </w:p>
        </w:tc>
        <w:tc>
          <w:tcPr>
            <w:tcW w:w="1016" w:type="dxa"/>
            <w:noWrap w:val="0"/>
            <w:vAlign w:val="center"/>
          </w:tcPr>
          <w:p>
            <w:pPr>
              <w:jc w:val="center"/>
              <w:rPr>
                <w:szCs w:val="21"/>
              </w:rPr>
            </w:pPr>
          </w:p>
        </w:tc>
        <w:tc>
          <w:tcPr>
            <w:tcW w:w="1185" w:type="dxa"/>
            <w:noWrap w:val="0"/>
            <w:vAlign w:val="top"/>
          </w:tcPr>
          <w:p>
            <w:pPr>
              <w:spacing w:line="360" w:lineRule="auto"/>
              <w:jc w:val="center"/>
              <w:rPr>
                <w:szCs w:val="21"/>
              </w:rPr>
            </w:pPr>
          </w:p>
        </w:tc>
        <w:tc>
          <w:tcPr>
            <w:tcW w:w="1185" w:type="dxa"/>
            <w:noWrap w:val="0"/>
            <w:vAlign w:val="top"/>
          </w:tcPr>
          <w:p>
            <w:pPr>
              <w:spacing w:line="360" w:lineRule="auto"/>
              <w:jc w:val="center"/>
              <w:rPr>
                <w:szCs w:val="21"/>
              </w:rPr>
            </w:pPr>
          </w:p>
        </w:tc>
        <w:tc>
          <w:tcPr>
            <w:tcW w:w="2127" w:type="dxa"/>
            <w:noWrap w:val="0"/>
            <w:vAlign w:val="center"/>
          </w:tcPr>
          <w:p>
            <w:pPr>
              <w:ind w:left="420" w:leftChars="200"/>
              <w:jc w:val="center"/>
              <w:rPr>
                <w:szCs w:val="21"/>
              </w:rPr>
            </w:pPr>
          </w:p>
        </w:tc>
        <w:tc>
          <w:tcPr>
            <w:tcW w:w="1058" w:type="dxa"/>
            <w:noWrap w:val="0"/>
            <w:vAlign w:val="center"/>
          </w:tcPr>
          <w:p>
            <w:pPr>
              <w:spacing w:line="360" w:lineRule="auto"/>
              <w:jc w:val="center"/>
              <w:rPr>
                <w:szCs w:val="21"/>
              </w:rPr>
            </w:pPr>
          </w:p>
        </w:tc>
        <w:tc>
          <w:tcPr>
            <w:tcW w:w="1926" w:type="dxa"/>
            <w:noWrap w:val="0"/>
            <w:vAlign w:val="center"/>
          </w:tcPr>
          <w:p>
            <w:pPr>
              <w:spacing w:line="360" w:lineRule="auto"/>
              <w:jc w:val="center"/>
              <w:rPr>
                <w:szCs w:val="21"/>
              </w:rPr>
            </w:pPr>
          </w:p>
        </w:tc>
      </w:tr>
    </w:tbl>
    <w:p>
      <w:pPr>
        <w:numPr>
          <w:ilvl w:val="1"/>
          <w:numId w:val="3"/>
        </w:numPr>
        <w:tabs>
          <w:tab w:val="left" w:pos="540"/>
          <w:tab w:val="left" w:pos="992"/>
        </w:tabs>
        <w:spacing w:line="360" w:lineRule="auto"/>
        <w:ind w:left="540" w:hanging="540"/>
        <w:rPr>
          <w:szCs w:val="21"/>
        </w:rPr>
      </w:pPr>
      <w:r>
        <w:rPr>
          <w:szCs w:val="21"/>
        </w:rPr>
        <w:t>签订合同后，乙方须向甲方提交合同总价1%（   元）的履约保证金（应当以支票、汇票、本票或者银行、保险公司出具的保函等非现金形式提交）。在完成整个项目、办理结算手续并支付至结算价100%后一次性无息退还履约保证金。</w:t>
      </w:r>
    </w:p>
    <w:p>
      <w:pPr>
        <w:numPr>
          <w:ilvl w:val="1"/>
          <w:numId w:val="3"/>
        </w:numPr>
        <w:tabs>
          <w:tab w:val="left" w:pos="540"/>
          <w:tab w:val="left" w:pos="992"/>
        </w:tabs>
        <w:spacing w:line="360" w:lineRule="auto"/>
        <w:ind w:left="540" w:hanging="540"/>
        <w:rPr>
          <w:szCs w:val="21"/>
        </w:rPr>
      </w:pPr>
      <w:r>
        <w:rPr>
          <w:rFonts w:hint="eastAsia"/>
          <w:szCs w:val="21"/>
        </w:rPr>
        <w:t>乙方若为中小企业，签订合同时，乙方向甲方提交银行预付款保函；甲方在收到预付款保函、合同生效以及具备实施条件后7个工作日内，向乙方支付合同金额的40%作为预付款，预付款保函要求见索即赔、保函金额与预付款金额等额、保函期限不低于合同期限等要素。预付款在后续货款中作相应抵扣。其余合同款项根据合同约定，验收合格后支付，甲方自收到发票具备实施条件后7个工作日内将货款支付给乙方。乙方若未提供预付款保函，则视为放弃预付款，合同款项根据合同约定，验收合格后支付，甲方自收到发票具备实施条件后7个工作日内将货款支付给乙方。</w:t>
      </w:r>
    </w:p>
    <w:p>
      <w:pPr>
        <w:numPr>
          <w:ilvl w:val="1"/>
          <w:numId w:val="3"/>
        </w:numPr>
        <w:tabs>
          <w:tab w:val="left" w:pos="540"/>
          <w:tab w:val="left" w:pos="992"/>
        </w:tabs>
        <w:spacing w:line="360" w:lineRule="auto"/>
        <w:ind w:left="540" w:hanging="540"/>
        <w:rPr>
          <w:szCs w:val="21"/>
        </w:rPr>
      </w:pPr>
      <w:r>
        <w:rPr>
          <w:rFonts w:hint="eastAsia"/>
          <w:szCs w:val="21"/>
        </w:rPr>
        <w:t>合同因故无法履约或无法完全履约，出现预付款金额大于实际支付金额时，乙方或出具预付款保函的金融机构应及时向甲方返还超出部分的预付款金额。</w:t>
      </w:r>
    </w:p>
    <w:p>
      <w:pPr>
        <w:pStyle w:val="2"/>
        <w:spacing w:line="360" w:lineRule="auto"/>
        <w:ind w:left="420" w:hanging="420" w:hangingChars="200"/>
        <w:rPr>
          <w:rFonts w:hint="default" w:eastAsia="宋体"/>
          <w:lang w:val="en-US" w:eastAsia="zh-CN"/>
        </w:rPr>
      </w:pPr>
      <w:r>
        <w:rPr>
          <w:rFonts w:hint="eastAsia"/>
          <w:szCs w:val="21"/>
          <w:lang w:val="en-US" w:eastAsia="zh-CN"/>
        </w:rPr>
        <w:t>9.5  乙方若为大型企业，不约定预付款。不约定预付款的，合同款项在安装验收合格后支付，甲方自收到发票具备实施条件后7个工作日内将货款支付给乙方。</w:t>
      </w:r>
    </w:p>
    <w:p>
      <w:pPr>
        <w:numPr>
          <w:ilvl w:val="0"/>
          <w:numId w:val="3"/>
        </w:numPr>
        <w:spacing w:line="360" w:lineRule="auto"/>
        <w:ind w:left="540" w:hanging="540"/>
        <w:rPr>
          <w:b/>
          <w:bCs/>
          <w:szCs w:val="21"/>
        </w:rPr>
      </w:pPr>
      <w:r>
        <w:rPr>
          <w:b/>
          <w:szCs w:val="21"/>
        </w:rPr>
        <w:t>技术文件和资料</w:t>
      </w:r>
    </w:p>
    <w:p>
      <w:pPr>
        <w:numPr>
          <w:ilvl w:val="1"/>
          <w:numId w:val="3"/>
        </w:numPr>
        <w:tabs>
          <w:tab w:val="left" w:pos="540"/>
          <w:tab w:val="left" w:pos="992"/>
        </w:tabs>
        <w:spacing w:line="360" w:lineRule="auto"/>
        <w:ind w:left="540" w:hanging="540"/>
        <w:rPr>
          <w:szCs w:val="21"/>
        </w:rPr>
      </w:pPr>
      <w:r>
        <w:rPr>
          <w:szCs w:val="21"/>
        </w:rPr>
        <w:t>提供技术文件和资料的种类和数量在本招标文件《招标内容及要求》部分中规定，买卖双方可根据招标要求和需要订立具体的技术文件和资料交付时间和数量。</w:t>
      </w:r>
    </w:p>
    <w:p>
      <w:pPr>
        <w:numPr>
          <w:ilvl w:val="1"/>
          <w:numId w:val="3"/>
        </w:numPr>
        <w:tabs>
          <w:tab w:val="left" w:pos="540"/>
          <w:tab w:val="left" w:pos="992"/>
        </w:tabs>
        <w:spacing w:line="360" w:lineRule="auto"/>
        <w:ind w:left="540" w:hanging="540"/>
        <w:rPr>
          <w:b/>
          <w:szCs w:val="21"/>
        </w:rPr>
      </w:pPr>
      <w:r>
        <w:rPr>
          <w:szCs w:val="21"/>
        </w:rPr>
        <w:t>如果甲方确认乙方提供的技术文件和资料不完整，或在运输途中丢失，乙方应在收到甲方通知后3天内将这些文件、资料补齐。</w:t>
      </w:r>
    </w:p>
    <w:p>
      <w:pPr>
        <w:numPr>
          <w:ilvl w:val="0"/>
          <w:numId w:val="3"/>
        </w:numPr>
        <w:spacing w:line="360" w:lineRule="auto"/>
        <w:ind w:left="540" w:hanging="540"/>
        <w:rPr>
          <w:b/>
          <w:bCs/>
          <w:szCs w:val="21"/>
        </w:rPr>
      </w:pPr>
      <w:r>
        <w:rPr>
          <w:b/>
          <w:szCs w:val="21"/>
        </w:rPr>
        <w:t xml:space="preserve"> 质量保</w:t>
      </w:r>
      <w:r>
        <w:rPr>
          <w:b/>
          <w:bCs/>
          <w:szCs w:val="21"/>
        </w:rPr>
        <w:t>证</w:t>
      </w:r>
    </w:p>
    <w:p>
      <w:pPr>
        <w:numPr>
          <w:ilvl w:val="1"/>
          <w:numId w:val="3"/>
        </w:numPr>
        <w:tabs>
          <w:tab w:val="left" w:pos="0"/>
          <w:tab w:val="left" w:pos="180"/>
          <w:tab w:val="left" w:pos="992"/>
        </w:tabs>
        <w:spacing w:line="360" w:lineRule="auto"/>
        <w:rPr>
          <w:szCs w:val="21"/>
        </w:rPr>
      </w:pPr>
      <w:r>
        <w:rPr>
          <w:szCs w:val="21"/>
        </w:rPr>
        <w:t>乙方所提供的货物应保证全新的、未使用过的，是原包装未拆封的，是用合格的工艺和材料制造而成的，并完全符合协议规定的质量、规格和性能要求，并随货提供质检报告单。乙方应保证所提供的货物经正确使用，在其使用寿命期内应具有使甲方满意的性能，并且确保一次性通过各项检验和测试。在货物质量保证期内，乙方应对由于设计、工艺、材料和配套件的缺陷所产生的任何不足或故障负责。</w:t>
      </w:r>
    </w:p>
    <w:p>
      <w:pPr>
        <w:numPr>
          <w:ilvl w:val="1"/>
          <w:numId w:val="3"/>
        </w:numPr>
        <w:tabs>
          <w:tab w:val="left" w:pos="540"/>
          <w:tab w:val="left" w:pos="992"/>
        </w:tabs>
        <w:spacing w:line="360" w:lineRule="auto"/>
        <w:ind w:left="540" w:hanging="540"/>
        <w:rPr>
          <w:szCs w:val="21"/>
        </w:rPr>
      </w:pPr>
      <w:r>
        <w:rPr>
          <w:szCs w:val="21"/>
        </w:rPr>
        <w:t>如果货物的数量、质量或规格与协议不符，或证实货物是有缺陷的，包括潜在的缺陷或使用不符合要求的材料等，甲方应尽快以书面形式通知乙方，提出索赔。乙方在收到通知后，应在规定期限内，用与投标时采用的零件、部件或材料来更换有缺陷的或不符合要求的零件、部件或材料，同时相应延长质量保证期。</w:t>
      </w:r>
    </w:p>
    <w:p>
      <w:pPr>
        <w:numPr>
          <w:ilvl w:val="0"/>
          <w:numId w:val="3"/>
        </w:numPr>
        <w:spacing w:line="360" w:lineRule="auto"/>
        <w:ind w:left="540" w:hanging="540"/>
        <w:rPr>
          <w:b/>
          <w:szCs w:val="21"/>
        </w:rPr>
      </w:pPr>
      <w:r>
        <w:rPr>
          <w:b/>
          <w:szCs w:val="21"/>
        </w:rPr>
        <w:t>交货时间及方式：</w:t>
      </w:r>
    </w:p>
    <w:p>
      <w:pPr>
        <w:numPr>
          <w:ilvl w:val="0"/>
          <w:numId w:val="0"/>
        </w:numPr>
        <w:tabs>
          <w:tab w:val="left" w:pos="0"/>
          <w:tab w:val="left" w:pos="180"/>
          <w:tab w:val="left" w:pos="567"/>
          <w:tab w:val="left" w:pos="992"/>
        </w:tabs>
        <w:adjustRightInd w:val="0"/>
        <w:snapToGrid w:val="0"/>
        <w:spacing w:line="360" w:lineRule="auto"/>
        <w:jc w:val="left"/>
      </w:pPr>
      <w:r>
        <w:t>交货期：</w:t>
      </w:r>
      <w:r>
        <w:rPr>
          <w:rFonts w:hint="eastAsia" w:ascii="宋体" w:hAnsi="宋体"/>
          <w:bCs/>
          <w:szCs w:val="21"/>
        </w:rPr>
        <w:t>每次接到订货通知后3天内将货物保质保量供货到甲方指定地点。</w:t>
      </w:r>
    </w:p>
    <w:p>
      <w:pPr>
        <w:numPr>
          <w:ilvl w:val="0"/>
          <w:numId w:val="3"/>
        </w:numPr>
        <w:spacing w:line="360" w:lineRule="auto"/>
        <w:ind w:left="540" w:hanging="540"/>
        <w:rPr>
          <w:szCs w:val="21"/>
        </w:rPr>
      </w:pPr>
      <w:r>
        <w:rPr>
          <w:b/>
          <w:szCs w:val="21"/>
        </w:rPr>
        <w:t>乙方违约责任</w:t>
      </w:r>
    </w:p>
    <w:p>
      <w:pPr>
        <w:tabs>
          <w:tab w:val="left" w:pos="-360"/>
          <w:tab w:val="left" w:pos="0"/>
          <w:tab w:val="left" w:pos="567"/>
          <w:tab w:val="left" w:pos="1080"/>
        </w:tabs>
        <w:spacing w:line="480" w:lineRule="exact"/>
        <w:rPr>
          <w:szCs w:val="21"/>
        </w:rPr>
      </w:pPr>
      <w:r>
        <w:rPr>
          <w:szCs w:val="21"/>
        </w:rPr>
        <w:t>13.1如果乙方除不可抗力外，拒绝履行协议规定的任何义务，经催告后在合理期限内仍不履行的，甲方有权解除合同。</w:t>
      </w:r>
    </w:p>
    <w:p>
      <w:pPr>
        <w:tabs>
          <w:tab w:val="left" w:pos="-360"/>
          <w:tab w:val="left" w:pos="0"/>
          <w:tab w:val="left" w:pos="567"/>
          <w:tab w:val="left" w:pos="1080"/>
        </w:tabs>
        <w:spacing w:line="480" w:lineRule="exact"/>
        <w:rPr>
          <w:szCs w:val="21"/>
        </w:rPr>
      </w:pPr>
      <w:r>
        <w:rPr>
          <w:szCs w:val="21"/>
        </w:rPr>
        <w:t>13.2乙方如未按甲方规定时间配送货物，每次扣除履约保证金的10%，三次以上延期供货的或单次延期供货达到30天以上的，甲方有权解除合同。</w:t>
      </w:r>
    </w:p>
    <w:p>
      <w:pPr>
        <w:tabs>
          <w:tab w:val="left" w:pos="-360"/>
          <w:tab w:val="left" w:pos="0"/>
          <w:tab w:val="left" w:pos="567"/>
          <w:tab w:val="left" w:pos="1080"/>
        </w:tabs>
        <w:spacing w:line="480" w:lineRule="exact"/>
        <w:rPr>
          <w:szCs w:val="21"/>
        </w:rPr>
      </w:pPr>
      <w:r>
        <w:rPr>
          <w:szCs w:val="21"/>
        </w:rPr>
        <w:t>13.3乙方所送货物若出现严重质量问题，每次扣除履约保证金的10%，三次以上甲方有权解除合同。</w:t>
      </w:r>
    </w:p>
    <w:p>
      <w:pPr>
        <w:tabs>
          <w:tab w:val="left" w:pos="-360"/>
          <w:tab w:val="left" w:pos="0"/>
          <w:tab w:val="left" w:pos="567"/>
          <w:tab w:val="left" w:pos="1080"/>
        </w:tabs>
        <w:spacing w:line="480" w:lineRule="exact"/>
        <w:rPr>
          <w:szCs w:val="21"/>
        </w:rPr>
      </w:pPr>
      <w:r>
        <w:rPr>
          <w:szCs w:val="21"/>
        </w:rPr>
        <w:t>13.4出现货物规格不符，数量少于票据载明数量或型号不符的，每出现一次乙方需向甲方支付500元的违约金，甲方可将履约保证金作为违约金予以扣除，三次以上甲方有权单方面解除协议。经甲方提醒后乙方未在规定时间内调换货的，视同延期供货，按本协议乙方违约责任</w:t>
      </w:r>
      <w:r>
        <w:rPr>
          <w:rFonts w:hint="eastAsia"/>
          <w:szCs w:val="21"/>
        </w:rPr>
        <w:t>13.2</w:t>
      </w:r>
      <w:r>
        <w:rPr>
          <w:szCs w:val="21"/>
        </w:rPr>
        <w:t>条合同条款执行。</w:t>
      </w:r>
    </w:p>
    <w:p>
      <w:pPr>
        <w:tabs>
          <w:tab w:val="left" w:pos="-360"/>
          <w:tab w:val="left" w:pos="0"/>
          <w:tab w:val="left" w:pos="567"/>
          <w:tab w:val="left" w:pos="1080"/>
        </w:tabs>
        <w:spacing w:line="480" w:lineRule="exact"/>
        <w:rPr>
          <w:szCs w:val="21"/>
        </w:rPr>
      </w:pPr>
      <w:r>
        <w:rPr>
          <w:szCs w:val="21"/>
        </w:rPr>
        <w:t>13.5因本条上述13.1、13.2、13.3、13.4及其他乙方原因，导致本协议解除的，乙方应按照协议总金额的10%支付违约金，履约保证金作为违约金予以抵扣没收，违约金不足以弥补甲方损失的，乙方需根据实际损失补足差额。</w:t>
      </w:r>
    </w:p>
    <w:p>
      <w:pPr>
        <w:numPr>
          <w:ilvl w:val="0"/>
          <w:numId w:val="3"/>
        </w:numPr>
        <w:spacing w:line="360" w:lineRule="auto"/>
        <w:ind w:left="540" w:hanging="540"/>
        <w:rPr>
          <w:szCs w:val="21"/>
        </w:rPr>
      </w:pPr>
      <w:r>
        <w:rPr>
          <w:b/>
          <w:szCs w:val="21"/>
        </w:rPr>
        <w:t>不可抗力</w:t>
      </w:r>
    </w:p>
    <w:p>
      <w:pPr>
        <w:tabs>
          <w:tab w:val="left" w:pos="0"/>
          <w:tab w:val="left" w:pos="180"/>
          <w:tab w:val="left" w:pos="992"/>
        </w:tabs>
        <w:spacing w:line="360" w:lineRule="auto"/>
        <w:rPr>
          <w:szCs w:val="21"/>
        </w:rPr>
      </w:pPr>
      <w:r>
        <w:rPr>
          <w:szCs w:val="21"/>
        </w:rPr>
        <w:t>如果双方中任何一方由于战争、严重火灾、水灾、破坏性台风和地震以及其它经双方同意属不可抗力的事故，致使合同履行受阻时，履行合同期限应予延长，延长时限应相当于事故所影响的时间，或双方协商解决。并视情况免于承担部分或全部的违约责任。</w:t>
      </w:r>
    </w:p>
    <w:p>
      <w:pPr>
        <w:numPr>
          <w:ilvl w:val="0"/>
          <w:numId w:val="3"/>
        </w:numPr>
        <w:spacing w:line="360" w:lineRule="auto"/>
        <w:ind w:left="540" w:hanging="540"/>
        <w:rPr>
          <w:szCs w:val="21"/>
        </w:rPr>
      </w:pPr>
      <w:r>
        <w:rPr>
          <w:b/>
          <w:szCs w:val="21"/>
        </w:rPr>
        <w:t>税费</w:t>
      </w:r>
    </w:p>
    <w:p>
      <w:pPr>
        <w:numPr>
          <w:ilvl w:val="1"/>
          <w:numId w:val="3"/>
        </w:numPr>
        <w:tabs>
          <w:tab w:val="left" w:pos="0"/>
          <w:tab w:val="left" w:pos="180"/>
          <w:tab w:val="left" w:pos="992"/>
        </w:tabs>
        <w:spacing w:line="360" w:lineRule="auto"/>
        <w:rPr>
          <w:szCs w:val="21"/>
        </w:rPr>
      </w:pPr>
      <w:r>
        <w:rPr>
          <w:szCs w:val="21"/>
        </w:rPr>
        <w:t>根据国家现行税法对甲方征收的与本合同有关的一切费用由甲方承担。</w:t>
      </w:r>
    </w:p>
    <w:p>
      <w:pPr>
        <w:numPr>
          <w:ilvl w:val="1"/>
          <w:numId w:val="3"/>
        </w:numPr>
        <w:tabs>
          <w:tab w:val="left" w:pos="0"/>
          <w:tab w:val="left" w:pos="180"/>
          <w:tab w:val="left" w:pos="992"/>
        </w:tabs>
        <w:spacing w:line="360" w:lineRule="auto"/>
        <w:rPr>
          <w:szCs w:val="21"/>
        </w:rPr>
      </w:pPr>
      <w:r>
        <w:rPr>
          <w:szCs w:val="21"/>
        </w:rPr>
        <w:t>根据现行税法对乙方征收的与本合同有关的一切税费均由乙方承担。</w:t>
      </w:r>
    </w:p>
    <w:p>
      <w:pPr>
        <w:numPr>
          <w:ilvl w:val="1"/>
          <w:numId w:val="3"/>
        </w:numPr>
        <w:tabs>
          <w:tab w:val="left" w:pos="0"/>
          <w:tab w:val="left" w:pos="180"/>
          <w:tab w:val="left" w:pos="992"/>
        </w:tabs>
        <w:spacing w:line="360" w:lineRule="auto"/>
        <w:rPr>
          <w:szCs w:val="21"/>
        </w:rPr>
      </w:pPr>
      <w:r>
        <w:rPr>
          <w:szCs w:val="21"/>
        </w:rPr>
        <w:t>在中国境外发生的与本合同执行有关的一切税费由乙方承担。</w:t>
      </w:r>
    </w:p>
    <w:p>
      <w:pPr>
        <w:numPr>
          <w:ilvl w:val="0"/>
          <w:numId w:val="3"/>
        </w:numPr>
        <w:spacing w:line="360" w:lineRule="auto"/>
        <w:ind w:left="540" w:hanging="540"/>
        <w:rPr>
          <w:szCs w:val="21"/>
        </w:rPr>
      </w:pPr>
      <w:r>
        <w:rPr>
          <w:b/>
          <w:szCs w:val="21"/>
        </w:rPr>
        <w:t>双方责任</w:t>
      </w:r>
    </w:p>
    <w:p>
      <w:pPr>
        <w:numPr>
          <w:ilvl w:val="1"/>
          <w:numId w:val="3"/>
        </w:numPr>
        <w:tabs>
          <w:tab w:val="left" w:pos="540"/>
          <w:tab w:val="left" w:pos="992"/>
        </w:tabs>
        <w:spacing w:line="360" w:lineRule="auto"/>
        <w:ind w:left="540" w:hanging="540"/>
        <w:rPr>
          <w:szCs w:val="21"/>
        </w:rPr>
      </w:pPr>
      <w:r>
        <w:rPr>
          <w:szCs w:val="21"/>
        </w:rPr>
        <w:t>甲方</w:t>
      </w:r>
    </w:p>
    <w:p>
      <w:pPr>
        <w:tabs>
          <w:tab w:val="left" w:pos="0"/>
          <w:tab w:val="left" w:pos="180"/>
          <w:tab w:val="left" w:pos="992"/>
        </w:tabs>
        <w:spacing w:line="360" w:lineRule="auto"/>
        <w:rPr>
          <w:szCs w:val="21"/>
        </w:rPr>
      </w:pPr>
      <w:r>
        <w:rPr>
          <w:szCs w:val="21"/>
        </w:rPr>
        <w:t>（1） 按合同规定向乙方支付货款。</w:t>
      </w:r>
    </w:p>
    <w:p>
      <w:pPr>
        <w:tabs>
          <w:tab w:val="left" w:pos="0"/>
          <w:tab w:val="left" w:pos="180"/>
          <w:tab w:val="left" w:pos="992"/>
        </w:tabs>
        <w:spacing w:line="360" w:lineRule="auto"/>
        <w:rPr>
          <w:szCs w:val="21"/>
        </w:rPr>
      </w:pPr>
      <w:r>
        <w:rPr>
          <w:szCs w:val="21"/>
        </w:rPr>
        <w:t>（2） 组织对货物的验收。</w:t>
      </w:r>
    </w:p>
    <w:p>
      <w:pPr>
        <w:numPr>
          <w:ilvl w:val="1"/>
          <w:numId w:val="3"/>
        </w:numPr>
        <w:tabs>
          <w:tab w:val="left" w:pos="540"/>
          <w:tab w:val="left" w:pos="992"/>
        </w:tabs>
        <w:spacing w:line="360" w:lineRule="auto"/>
        <w:ind w:left="540" w:hanging="540"/>
        <w:rPr>
          <w:szCs w:val="21"/>
        </w:rPr>
      </w:pPr>
      <w:r>
        <w:rPr>
          <w:szCs w:val="21"/>
        </w:rPr>
        <w:t>乙方</w:t>
      </w:r>
    </w:p>
    <w:p>
      <w:pPr>
        <w:spacing w:line="360" w:lineRule="auto"/>
        <w:rPr>
          <w:szCs w:val="21"/>
        </w:rPr>
      </w:pPr>
      <w:r>
        <w:rPr>
          <w:szCs w:val="21"/>
        </w:rPr>
        <w:t>（1） 按合同要求提供货物和服务。</w:t>
      </w:r>
    </w:p>
    <w:p>
      <w:pPr>
        <w:spacing w:line="360" w:lineRule="auto"/>
        <w:rPr>
          <w:szCs w:val="21"/>
        </w:rPr>
      </w:pPr>
      <w:r>
        <w:rPr>
          <w:szCs w:val="21"/>
        </w:rPr>
        <w:t>（2） 对所提供的货物和服务质量问题无条件负责处理。</w:t>
      </w:r>
    </w:p>
    <w:p>
      <w:pPr>
        <w:numPr>
          <w:ilvl w:val="0"/>
          <w:numId w:val="3"/>
        </w:numPr>
        <w:spacing w:line="360" w:lineRule="auto"/>
        <w:ind w:left="540" w:hanging="540"/>
        <w:rPr>
          <w:szCs w:val="21"/>
        </w:rPr>
      </w:pPr>
      <w:r>
        <w:rPr>
          <w:b/>
          <w:szCs w:val="21"/>
        </w:rPr>
        <w:t>争端的解决</w:t>
      </w:r>
    </w:p>
    <w:p>
      <w:pPr>
        <w:numPr>
          <w:ilvl w:val="1"/>
          <w:numId w:val="3"/>
        </w:numPr>
        <w:tabs>
          <w:tab w:val="left" w:pos="540"/>
          <w:tab w:val="left" w:pos="992"/>
        </w:tabs>
        <w:spacing w:line="360" w:lineRule="auto"/>
        <w:ind w:left="540" w:hanging="540"/>
        <w:rPr>
          <w:szCs w:val="21"/>
        </w:rPr>
      </w:pPr>
      <w:r>
        <w:rPr>
          <w:szCs w:val="21"/>
        </w:rPr>
        <w:t>协议实施或与协议有关的一切争端，甲乙双方应通过友好协商解决，如果协商仍得不到解决，任何一方可向合同签约地人民法院提起诉讼。本合同签约地在温州市温州大道东段1111号。</w:t>
      </w:r>
    </w:p>
    <w:p>
      <w:pPr>
        <w:numPr>
          <w:ilvl w:val="1"/>
          <w:numId w:val="3"/>
        </w:numPr>
        <w:tabs>
          <w:tab w:val="left" w:pos="540"/>
          <w:tab w:val="left" w:pos="992"/>
        </w:tabs>
        <w:spacing w:line="360" w:lineRule="auto"/>
        <w:ind w:left="540" w:hanging="540"/>
        <w:rPr>
          <w:szCs w:val="21"/>
        </w:rPr>
      </w:pPr>
      <w:r>
        <w:rPr>
          <w:szCs w:val="21"/>
        </w:rPr>
        <w:t>诉讼费、律师费等守约方为维护权利所支付的合理费用，除法院另有判决外应由败诉方承担。</w:t>
      </w:r>
    </w:p>
    <w:p>
      <w:pPr>
        <w:numPr>
          <w:ilvl w:val="1"/>
          <w:numId w:val="3"/>
        </w:numPr>
        <w:tabs>
          <w:tab w:val="left" w:pos="540"/>
          <w:tab w:val="left" w:pos="992"/>
        </w:tabs>
        <w:spacing w:line="360" w:lineRule="auto"/>
        <w:ind w:left="540" w:hanging="540"/>
        <w:rPr>
          <w:szCs w:val="21"/>
        </w:rPr>
      </w:pPr>
      <w:r>
        <w:rPr>
          <w:szCs w:val="21"/>
        </w:rPr>
        <w:t>在诉讼期间，除正在执行诉讼的部分外，本协议的其他部分应继续执行。</w:t>
      </w:r>
    </w:p>
    <w:p>
      <w:pPr>
        <w:numPr>
          <w:ilvl w:val="1"/>
          <w:numId w:val="3"/>
        </w:numPr>
        <w:tabs>
          <w:tab w:val="left" w:pos="540"/>
          <w:tab w:val="left" w:pos="992"/>
        </w:tabs>
        <w:spacing w:line="360" w:lineRule="auto"/>
        <w:ind w:left="540" w:hanging="540"/>
        <w:rPr>
          <w:szCs w:val="21"/>
        </w:rPr>
      </w:pPr>
      <w:r>
        <w:rPr>
          <w:szCs w:val="21"/>
        </w:rPr>
        <w:t>招标文件（编号0625-     ）、投标文件及评标过程中形成的文字资料、询标纪要均作为本协议的组成部分，具有同等效力。</w:t>
      </w:r>
    </w:p>
    <w:p>
      <w:pPr>
        <w:numPr>
          <w:ilvl w:val="0"/>
          <w:numId w:val="3"/>
        </w:numPr>
        <w:spacing w:line="360" w:lineRule="auto"/>
        <w:ind w:left="540" w:hanging="540"/>
        <w:rPr>
          <w:szCs w:val="21"/>
        </w:rPr>
      </w:pPr>
      <w:r>
        <w:rPr>
          <w:b/>
          <w:szCs w:val="21"/>
        </w:rPr>
        <w:t>转让和分包及产品不可替代</w:t>
      </w:r>
    </w:p>
    <w:p>
      <w:pPr>
        <w:numPr>
          <w:ilvl w:val="1"/>
          <w:numId w:val="3"/>
        </w:numPr>
        <w:tabs>
          <w:tab w:val="left" w:pos="540"/>
          <w:tab w:val="left" w:pos="992"/>
        </w:tabs>
        <w:spacing w:line="360" w:lineRule="auto"/>
        <w:ind w:left="540" w:hanging="540"/>
        <w:rPr>
          <w:szCs w:val="21"/>
        </w:rPr>
      </w:pPr>
      <w:r>
        <w:rPr>
          <w:szCs w:val="21"/>
        </w:rPr>
        <w:t>未经甲方事先书面同意，乙方不得部分转让或全部转让和分包其履行合同的义务。</w:t>
      </w:r>
    </w:p>
    <w:p>
      <w:pPr>
        <w:numPr>
          <w:ilvl w:val="1"/>
          <w:numId w:val="3"/>
        </w:numPr>
        <w:tabs>
          <w:tab w:val="left" w:pos="540"/>
          <w:tab w:val="left" w:pos="992"/>
        </w:tabs>
        <w:spacing w:line="360" w:lineRule="auto"/>
        <w:ind w:left="540" w:hanging="540"/>
        <w:rPr>
          <w:szCs w:val="21"/>
        </w:rPr>
      </w:pPr>
      <w:r>
        <w:rPr>
          <w:szCs w:val="21"/>
        </w:rPr>
        <w:t>产品不可替代，乙方在没有取得甲方的书面授权的情况下，不得将合同货物的生产制造转交其他生产厂商或以其他厂商的产品替代。</w:t>
      </w:r>
    </w:p>
    <w:p>
      <w:pPr>
        <w:numPr>
          <w:ilvl w:val="0"/>
          <w:numId w:val="3"/>
        </w:numPr>
        <w:spacing w:line="360" w:lineRule="auto"/>
        <w:ind w:left="540" w:hanging="540"/>
        <w:rPr>
          <w:b/>
          <w:szCs w:val="21"/>
        </w:rPr>
      </w:pPr>
      <w:r>
        <w:rPr>
          <w:b/>
          <w:szCs w:val="21"/>
        </w:rPr>
        <w:t>适用法律</w:t>
      </w:r>
    </w:p>
    <w:p>
      <w:pPr>
        <w:spacing w:line="360" w:lineRule="auto"/>
        <w:ind w:firstLine="514" w:firstLineChars="245"/>
        <w:rPr>
          <w:szCs w:val="21"/>
        </w:rPr>
      </w:pPr>
      <w:r>
        <w:rPr>
          <w:szCs w:val="21"/>
        </w:rPr>
        <w:t>本合同按照中华人民共和国的法律进行解释。</w:t>
      </w:r>
    </w:p>
    <w:p>
      <w:pPr>
        <w:numPr>
          <w:ilvl w:val="0"/>
          <w:numId w:val="3"/>
        </w:numPr>
        <w:spacing w:line="360" w:lineRule="auto"/>
        <w:ind w:left="540" w:hanging="540"/>
        <w:rPr>
          <w:szCs w:val="21"/>
        </w:rPr>
      </w:pPr>
      <w:r>
        <w:rPr>
          <w:b/>
          <w:szCs w:val="21"/>
        </w:rPr>
        <w:t>合同生效及其他</w:t>
      </w:r>
    </w:p>
    <w:p>
      <w:pPr>
        <w:numPr>
          <w:ilvl w:val="1"/>
          <w:numId w:val="3"/>
        </w:numPr>
        <w:tabs>
          <w:tab w:val="left" w:pos="540"/>
          <w:tab w:val="left" w:pos="992"/>
        </w:tabs>
        <w:spacing w:line="360" w:lineRule="auto"/>
        <w:ind w:left="540" w:hanging="540"/>
        <w:rPr>
          <w:szCs w:val="21"/>
        </w:rPr>
      </w:pPr>
      <w:r>
        <w:rPr>
          <w:szCs w:val="21"/>
        </w:rPr>
        <w:t>合同应在双方签字盖章后开始生效。</w:t>
      </w:r>
    </w:p>
    <w:p>
      <w:pPr>
        <w:numPr>
          <w:ilvl w:val="1"/>
          <w:numId w:val="3"/>
        </w:numPr>
        <w:tabs>
          <w:tab w:val="left" w:pos="540"/>
          <w:tab w:val="left" w:pos="992"/>
        </w:tabs>
        <w:spacing w:line="360" w:lineRule="auto"/>
        <w:ind w:left="540" w:hanging="540"/>
        <w:rPr>
          <w:szCs w:val="21"/>
        </w:rPr>
      </w:pPr>
      <w:r>
        <w:rPr>
          <w:szCs w:val="21"/>
        </w:rPr>
        <w:t>本合同一式伍份，甲方执叁份，乙方执贰份，具有同等法律效应。</w:t>
      </w:r>
    </w:p>
    <w:p>
      <w:pPr>
        <w:numPr>
          <w:ilvl w:val="1"/>
          <w:numId w:val="3"/>
        </w:numPr>
        <w:tabs>
          <w:tab w:val="left" w:pos="540"/>
          <w:tab w:val="left" w:pos="992"/>
        </w:tabs>
        <w:spacing w:line="360" w:lineRule="auto"/>
        <w:ind w:left="540" w:hanging="540"/>
        <w:rPr>
          <w:szCs w:val="21"/>
        </w:rPr>
      </w:pPr>
      <w:r>
        <w:rPr>
          <w:szCs w:val="21"/>
        </w:rPr>
        <w:t>如需修改或补充合同内容，经协商，双方应签署书面修改或补充协议，该协议将作为本合同的一个组成部分。</w:t>
      </w:r>
    </w:p>
    <w:p>
      <w:pPr>
        <w:numPr>
          <w:ilvl w:val="0"/>
          <w:numId w:val="3"/>
        </w:numPr>
        <w:spacing w:line="360" w:lineRule="auto"/>
        <w:ind w:left="540" w:hanging="540"/>
        <w:rPr>
          <w:b/>
          <w:szCs w:val="21"/>
        </w:rPr>
      </w:pPr>
      <w:r>
        <w:rPr>
          <w:b/>
          <w:szCs w:val="21"/>
        </w:rPr>
        <w:t>合同组成部分：</w:t>
      </w:r>
    </w:p>
    <w:p>
      <w:pPr>
        <w:numPr>
          <w:ilvl w:val="1"/>
          <w:numId w:val="3"/>
        </w:numPr>
        <w:tabs>
          <w:tab w:val="left" w:pos="540"/>
          <w:tab w:val="left" w:pos="992"/>
        </w:tabs>
        <w:spacing w:line="360" w:lineRule="auto"/>
        <w:ind w:left="540" w:hanging="540"/>
        <w:rPr>
          <w:szCs w:val="21"/>
        </w:rPr>
      </w:pPr>
      <w:r>
        <w:rPr>
          <w:szCs w:val="21"/>
        </w:rPr>
        <w:t>合同补充条款或说明（如有）</w:t>
      </w:r>
    </w:p>
    <w:p>
      <w:pPr>
        <w:numPr>
          <w:ilvl w:val="1"/>
          <w:numId w:val="3"/>
        </w:numPr>
        <w:tabs>
          <w:tab w:val="left" w:pos="540"/>
          <w:tab w:val="left" w:pos="992"/>
        </w:tabs>
        <w:spacing w:line="360" w:lineRule="auto"/>
        <w:ind w:left="540" w:hanging="540"/>
        <w:rPr>
          <w:szCs w:val="21"/>
        </w:rPr>
      </w:pPr>
      <w:r>
        <w:rPr>
          <w:szCs w:val="21"/>
        </w:rPr>
        <w:t>合同主要条款</w:t>
      </w:r>
    </w:p>
    <w:p>
      <w:pPr>
        <w:numPr>
          <w:ilvl w:val="1"/>
          <w:numId w:val="3"/>
        </w:numPr>
        <w:tabs>
          <w:tab w:val="left" w:pos="540"/>
          <w:tab w:val="left" w:pos="992"/>
        </w:tabs>
        <w:spacing w:line="360" w:lineRule="auto"/>
        <w:ind w:left="540" w:hanging="540"/>
        <w:rPr>
          <w:szCs w:val="21"/>
        </w:rPr>
      </w:pPr>
      <w:r>
        <w:rPr>
          <w:szCs w:val="21"/>
        </w:rPr>
        <w:t>中标通知书</w:t>
      </w:r>
    </w:p>
    <w:p>
      <w:pPr>
        <w:numPr>
          <w:ilvl w:val="1"/>
          <w:numId w:val="3"/>
        </w:numPr>
        <w:tabs>
          <w:tab w:val="left" w:pos="540"/>
          <w:tab w:val="left" w:pos="992"/>
        </w:tabs>
        <w:spacing w:line="360" w:lineRule="auto"/>
        <w:ind w:left="540" w:hanging="540"/>
        <w:rPr>
          <w:szCs w:val="21"/>
        </w:rPr>
      </w:pPr>
      <w:r>
        <w:rPr>
          <w:szCs w:val="21"/>
        </w:rPr>
        <w:t>承诺书（含询标记录和优惠条件）</w:t>
      </w:r>
    </w:p>
    <w:p>
      <w:pPr>
        <w:numPr>
          <w:ilvl w:val="1"/>
          <w:numId w:val="3"/>
        </w:numPr>
        <w:tabs>
          <w:tab w:val="left" w:pos="540"/>
          <w:tab w:val="left" w:pos="992"/>
        </w:tabs>
        <w:spacing w:line="360" w:lineRule="auto"/>
        <w:ind w:left="540" w:hanging="540"/>
        <w:rPr>
          <w:szCs w:val="21"/>
        </w:rPr>
      </w:pPr>
      <w:r>
        <w:rPr>
          <w:szCs w:val="21"/>
        </w:rPr>
        <w:t xml:space="preserve">投标文件               </w:t>
      </w:r>
    </w:p>
    <w:p>
      <w:pPr>
        <w:numPr>
          <w:ilvl w:val="1"/>
          <w:numId w:val="3"/>
        </w:numPr>
        <w:tabs>
          <w:tab w:val="left" w:pos="540"/>
          <w:tab w:val="left" w:pos="992"/>
        </w:tabs>
        <w:spacing w:line="360" w:lineRule="auto"/>
        <w:ind w:left="540" w:hanging="540"/>
        <w:rPr>
          <w:szCs w:val="21"/>
        </w:rPr>
      </w:pPr>
      <w:r>
        <w:rPr>
          <w:szCs w:val="21"/>
        </w:rPr>
        <w:t>招标文件的补充文件（如有）</w:t>
      </w:r>
    </w:p>
    <w:p>
      <w:pPr>
        <w:numPr>
          <w:ilvl w:val="1"/>
          <w:numId w:val="3"/>
        </w:numPr>
        <w:tabs>
          <w:tab w:val="left" w:pos="540"/>
          <w:tab w:val="left" w:pos="992"/>
        </w:tabs>
        <w:spacing w:line="360" w:lineRule="auto"/>
        <w:ind w:left="540" w:hanging="540"/>
        <w:rPr>
          <w:b/>
          <w:bCs/>
          <w:szCs w:val="21"/>
        </w:rPr>
      </w:pPr>
      <w:r>
        <w:rPr>
          <w:szCs w:val="21"/>
        </w:rPr>
        <w:t xml:space="preserve">招标文件 </w:t>
      </w:r>
    </w:p>
    <w:p>
      <w:pPr>
        <w:numPr>
          <w:ilvl w:val="0"/>
          <w:numId w:val="3"/>
        </w:numPr>
        <w:spacing w:line="360" w:lineRule="auto"/>
        <w:ind w:left="540" w:hanging="540"/>
        <w:rPr>
          <w:b/>
          <w:bCs/>
          <w:szCs w:val="21"/>
        </w:rPr>
      </w:pPr>
      <w:r>
        <w:rPr>
          <w:szCs w:val="21"/>
          <w:lang w:val="zh-CN"/>
        </w:rPr>
        <w:t>双方需签署购销廉洁自律协议书，详见附件</w:t>
      </w:r>
      <w:r>
        <w:rPr>
          <w:rFonts w:hint="eastAsia"/>
          <w:szCs w:val="21"/>
        </w:rPr>
        <w:t>1</w:t>
      </w:r>
      <w:r>
        <w:rPr>
          <w:szCs w:val="21"/>
        </w:rPr>
        <w:t xml:space="preserve">。如乙方违反购销廉洁自律协议书，甲方有权单方面解除采购协议。         </w:t>
      </w:r>
    </w:p>
    <w:tbl>
      <w:tblPr>
        <w:tblStyle w:val="4"/>
        <w:tblW w:w="0" w:type="auto"/>
        <w:tblInd w:w="0" w:type="dxa"/>
        <w:tblLayout w:type="fixed"/>
        <w:tblCellMar>
          <w:top w:w="0" w:type="dxa"/>
          <w:left w:w="108" w:type="dxa"/>
          <w:bottom w:w="0" w:type="dxa"/>
          <w:right w:w="108" w:type="dxa"/>
        </w:tblCellMar>
      </w:tblPr>
      <w:tblGrid>
        <w:gridCol w:w="5093"/>
        <w:gridCol w:w="4761"/>
      </w:tblGrid>
      <w:tr>
        <w:tc>
          <w:tcPr>
            <w:tcW w:w="5093" w:type="dxa"/>
            <w:noWrap w:val="0"/>
            <w:vAlign w:val="top"/>
          </w:tcPr>
          <w:p>
            <w:pPr>
              <w:spacing w:before="100" w:beforeAutospacing="1" w:after="100" w:afterAutospacing="1"/>
              <w:textAlignment w:val="center"/>
              <w:rPr>
                <w:szCs w:val="21"/>
              </w:rPr>
            </w:pPr>
            <w:r>
              <w:rPr>
                <w:szCs w:val="21"/>
              </w:rPr>
              <w:t>甲方：（印章）</w:t>
            </w:r>
          </w:p>
          <w:p>
            <w:pPr>
              <w:spacing w:before="100" w:beforeAutospacing="1" w:after="100" w:afterAutospacing="1"/>
              <w:textAlignment w:val="center"/>
              <w:rPr>
                <w:szCs w:val="21"/>
              </w:rPr>
            </w:pPr>
            <w:r>
              <w:rPr>
                <w:szCs w:val="21"/>
              </w:rPr>
              <w:t>法定代表:（签字）</w:t>
            </w:r>
          </w:p>
          <w:p>
            <w:pPr>
              <w:spacing w:before="100" w:beforeAutospacing="1" w:after="100" w:afterAutospacing="1"/>
              <w:textAlignment w:val="center"/>
              <w:rPr>
                <w:szCs w:val="21"/>
              </w:rPr>
            </w:pPr>
            <w:r>
              <w:rPr>
                <w:szCs w:val="21"/>
              </w:rPr>
              <w:t>授权代表：</w:t>
            </w:r>
          </w:p>
          <w:p>
            <w:pPr>
              <w:spacing w:before="100" w:beforeAutospacing="1" w:after="100" w:afterAutospacing="1"/>
              <w:textAlignment w:val="center"/>
              <w:rPr>
                <w:szCs w:val="21"/>
              </w:rPr>
            </w:pPr>
            <w:r>
              <w:rPr>
                <w:szCs w:val="21"/>
              </w:rPr>
              <w:t>地址：</w:t>
            </w:r>
          </w:p>
          <w:p>
            <w:pPr>
              <w:spacing w:before="100" w:beforeAutospacing="1" w:after="100" w:afterAutospacing="1"/>
              <w:textAlignment w:val="center"/>
              <w:rPr>
                <w:szCs w:val="21"/>
              </w:rPr>
            </w:pPr>
            <w:r>
              <w:rPr>
                <w:szCs w:val="21"/>
              </w:rPr>
              <w:t>邮政编码：</w:t>
            </w:r>
          </w:p>
          <w:p>
            <w:pPr>
              <w:spacing w:before="100" w:beforeAutospacing="1" w:after="100" w:afterAutospacing="1"/>
              <w:textAlignment w:val="center"/>
              <w:rPr>
                <w:szCs w:val="21"/>
              </w:rPr>
            </w:pPr>
            <w:r>
              <w:rPr>
                <w:szCs w:val="21"/>
              </w:rPr>
              <w:t>电话：</w:t>
            </w:r>
          </w:p>
          <w:p>
            <w:pPr>
              <w:spacing w:before="100" w:beforeAutospacing="1" w:after="100" w:afterAutospacing="1"/>
              <w:textAlignment w:val="center"/>
              <w:rPr>
                <w:szCs w:val="21"/>
              </w:rPr>
            </w:pPr>
            <w:r>
              <w:rPr>
                <w:szCs w:val="21"/>
              </w:rPr>
              <w:t>传真：</w:t>
            </w:r>
          </w:p>
          <w:p>
            <w:pPr>
              <w:spacing w:before="100" w:beforeAutospacing="1" w:after="100" w:afterAutospacing="1"/>
              <w:textAlignment w:val="center"/>
              <w:rPr>
                <w:szCs w:val="21"/>
              </w:rPr>
            </w:pPr>
            <w:r>
              <w:rPr>
                <w:szCs w:val="21"/>
              </w:rPr>
              <w:t>开户银行：</w:t>
            </w:r>
          </w:p>
          <w:p>
            <w:pPr>
              <w:spacing w:before="100" w:beforeAutospacing="1" w:after="100" w:afterAutospacing="1"/>
              <w:textAlignment w:val="center"/>
              <w:rPr>
                <w:szCs w:val="21"/>
              </w:rPr>
            </w:pPr>
            <w:r>
              <w:rPr>
                <w:szCs w:val="21"/>
              </w:rPr>
              <w:t>帐号：</w:t>
            </w:r>
          </w:p>
        </w:tc>
        <w:tc>
          <w:tcPr>
            <w:tcW w:w="4761" w:type="dxa"/>
            <w:noWrap w:val="0"/>
            <w:vAlign w:val="top"/>
          </w:tcPr>
          <w:p>
            <w:pPr>
              <w:spacing w:before="100" w:beforeAutospacing="1" w:after="100" w:afterAutospacing="1"/>
              <w:textAlignment w:val="center"/>
              <w:rPr>
                <w:szCs w:val="21"/>
              </w:rPr>
            </w:pPr>
            <w:r>
              <w:rPr>
                <w:szCs w:val="21"/>
              </w:rPr>
              <w:t>乙方：（印章）</w:t>
            </w:r>
          </w:p>
          <w:p>
            <w:pPr>
              <w:spacing w:before="100" w:beforeAutospacing="1" w:after="100" w:afterAutospacing="1"/>
              <w:textAlignment w:val="center"/>
              <w:rPr>
                <w:szCs w:val="21"/>
              </w:rPr>
            </w:pPr>
            <w:r>
              <w:rPr>
                <w:szCs w:val="21"/>
              </w:rPr>
              <w:t>法定代表:（签字）</w:t>
            </w:r>
          </w:p>
          <w:p>
            <w:pPr>
              <w:spacing w:before="100" w:beforeAutospacing="1" w:after="100" w:afterAutospacing="1"/>
              <w:textAlignment w:val="center"/>
              <w:rPr>
                <w:szCs w:val="21"/>
              </w:rPr>
            </w:pPr>
            <w:r>
              <w:rPr>
                <w:szCs w:val="21"/>
              </w:rPr>
              <w:t>授权代表：</w:t>
            </w:r>
          </w:p>
          <w:p>
            <w:pPr>
              <w:spacing w:before="100" w:beforeAutospacing="1" w:after="100" w:afterAutospacing="1"/>
              <w:textAlignment w:val="center"/>
              <w:rPr>
                <w:szCs w:val="21"/>
              </w:rPr>
            </w:pPr>
            <w:r>
              <w:rPr>
                <w:szCs w:val="21"/>
              </w:rPr>
              <w:t>地址：</w:t>
            </w:r>
          </w:p>
          <w:p>
            <w:pPr>
              <w:spacing w:before="100" w:beforeAutospacing="1" w:after="100" w:afterAutospacing="1"/>
              <w:textAlignment w:val="center"/>
              <w:rPr>
                <w:szCs w:val="21"/>
              </w:rPr>
            </w:pPr>
            <w:r>
              <w:rPr>
                <w:szCs w:val="21"/>
              </w:rPr>
              <w:t>邮政编码：</w:t>
            </w:r>
          </w:p>
          <w:p>
            <w:pPr>
              <w:spacing w:before="100" w:beforeAutospacing="1" w:after="100" w:afterAutospacing="1"/>
              <w:textAlignment w:val="center"/>
              <w:rPr>
                <w:szCs w:val="21"/>
              </w:rPr>
            </w:pPr>
            <w:r>
              <w:rPr>
                <w:szCs w:val="21"/>
              </w:rPr>
              <w:t>电话：</w:t>
            </w:r>
          </w:p>
          <w:p>
            <w:pPr>
              <w:spacing w:before="100" w:beforeAutospacing="1" w:after="100" w:afterAutospacing="1"/>
              <w:textAlignment w:val="center"/>
              <w:rPr>
                <w:szCs w:val="21"/>
              </w:rPr>
            </w:pPr>
            <w:r>
              <w:rPr>
                <w:szCs w:val="21"/>
              </w:rPr>
              <w:t>传真：</w:t>
            </w:r>
          </w:p>
          <w:p>
            <w:pPr>
              <w:spacing w:before="100" w:beforeAutospacing="1" w:after="100" w:afterAutospacing="1"/>
              <w:textAlignment w:val="center"/>
              <w:rPr>
                <w:szCs w:val="21"/>
              </w:rPr>
            </w:pPr>
            <w:r>
              <w:rPr>
                <w:szCs w:val="21"/>
              </w:rPr>
              <w:t>开户银行：</w:t>
            </w:r>
          </w:p>
          <w:p>
            <w:pPr>
              <w:spacing w:before="100" w:beforeAutospacing="1" w:after="100" w:afterAutospacing="1"/>
              <w:textAlignment w:val="center"/>
              <w:rPr>
                <w:szCs w:val="21"/>
              </w:rPr>
            </w:pPr>
            <w:r>
              <w:rPr>
                <w:szCs w:val="21"/>
              </w:rPr>
              <w:t>帐号：</w:t>
            </w:r>
          </w:p>
        </w:tc>
      </w:tr>
    </w:tbl>
    <w:p>
      <w:pPr>
        <w:rPr>
          <w:rFonts w:hint="default"/>
          <w:lang w:val="en-US" w:eastAsia="zh-CN"/>
        </w:rPr>
      </w:pPr>
    </w:p>
    <w:p>
      <w:pPr>
        <w:pStyle w:val="2"/>
        <w:numPr>
          <w:ilvl w:val="0"/>
          <w:numId w:val="0"/>
        </w:num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ntury Gothic">
    <w:altName w:val="Yu Gothic UI"/>
    <w:panose1 w:val="020B0502020202020204"/>
    <w:charset w:val="00"/>
    <w:family w:val="swiss"/>
    <w:pitch w:val="default"/>
    <w:sig w:usb0="00000000" w:usb1="00000000" w:usb2="00000000" w:usb3="00000000" w:csb0="2000009F" w:csb1="DFD70000"/>
  </w:font>
  <w:font w:name="楷体_GB2312">
    <w:panose1 w:val="02010609030101010101"/>
    <w:charset w:val="86"/>
    <w:family w:val="modern"/>
    <w:pitch w:val="default"/>
    <w:sig w:usb0="00000001" w:usb1="080E0000" w:usb2="00000000" w:usb3="00000000" w:csb0="00040000" w:csb1="0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6B38B9"/>
    <w:multiLevelType w:val="singleLevel"/>
    <w:tmpl w:val="896B38B9"/>
    <w:lvl w:ilvl="0" w:tentative="0">
      <w:start w:val="3"/>
      <w:numFmt w:val="decimal"/>
      <w:suff w:val="nothing"/>
      <w:lvlText w:val="%1、"/>
      <w:lvlJc w:val="left"/>
    </w:lvl>
  </w:abstractNum>
  <w:abstractNum w:abstractNumId="1">
    <w:nsid w:val="E708D8EC"/>
    <w:multiLevelType w:val="singleLevel"/>
    <w:tmpl w:val="E708D8EC"/>
    <w:lvl w:ilvl="0" w:tentative="0">
      <w:start w:val="1"/>
      <w:numFmt w:val="decimal"/>
      <w:suff w:val="nothing"/>
      <w:lvlText w:val="%1、"/>
      <w:lvlJc w:val="left"/>
    </w:lvl>
  </w:abstractNum>
  <w:abstractNum w:abstractNumId="2">
    <w:nsid w:val="64F12BCD"/>
    <w:multiLevelType w:val="multilevel"/>
    <w:tmpl w:val="64F12BCD"/>
    <w:lvl w:ilvl="0" w:tentative="0">
      <w:start w:val="1"/>
      <w:numFmt w:val="decimal"/>
      <w:lvlText w:val="%1"/>
      <w:lvlJc w:val="left"/>
      <w:pPr>
        <w:tabs>
          <w:tab w:val="left" w:pos="425"/>
        </w:tabs>
        <w:ind w:left="425" w:hanging="425"/>
      </w:pPr>
      <w:rPr>
        <w:rFonts w:hint="default" w:ascii="Times New Roman" w:hAnsi="Times New Roman" w:eastAsia="楷体_GB2312"/>
      </w:rPr>
    </w:lvl>
    <w:lvl w:ilvl="1" w:tentative="0">
      <w:start w:val="1"/>
      <w:numFmt w:val="decimal"/>
      <w:lvlText w:val="%1.%2"/>
      <w:lvlJc w:val="left"/>
      <w:pPr>
        <w:tabs>
          <w:tab w:val="left" w:pos="567"/>
        </w:tabs>
        <w:ind w:left="567" w:hanging="567"/>
      </w:pPr>
      <w:rPr>
        <w:rFonts w:hint="default" w:ascii="Times New Roman" w:hAnsi="Times New Roman" w:eastAsia="楷体_GB2312"/>
        <w:b w:val="0"/>
        <w:bCs w:val="0"/>
        <w:sz w:val="20"/>
        <w:szCs w:val="20"/>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2NGUxNzYwODMwNGQ3Njc0ODU0ZTczYzlmYjY4YmEifQ=="/>
    <w:docVar w:name="KSO_WPS_MARK_KEY" w:val="6f1cf7ee-5a93-4091-8876-8a443ca877cd"/>
  </w:docVars>
  <w:rsids>
    <w:rsidRoot w:val="4DB2200A"/>
    <w:rsid w:val="48644A4E"/>
    <w:rsid w:val="4DB22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pPr>
    <w:rPr>
      <w:szCs w:val="20"/>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8265</Words>
  <Characters>8586</Characters>
  <Lines>0</Lines>
  <Paragraphs>0</Paragraphs>
  <TotalTime>1</TotalTime>
  <ScaleCrop>false</ScaleCrop>
  <LinksUpToDate>false</LinksUpToDate>
  <CharactersWithSpaces>8894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2025-02-21T02:19:00Z</dcterms:created>
  <dc:creator>铅丝</dc:creator>
  <cp:lastModifiedBy>Йāτ$ū嗄ｘīā</cp:lastModifiedBy>
  <dcterms:modified xsi:type="dcterms:W3CDTF">2025-03-10T06:03:32Z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6D64AF0657D145BCA933AFE4C33A0031_13</vt:lpwstr>
  </property>
</Properties>
</file>