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9B6DD">
      <w:pPr>
        <w:pStyle w:val="2"/>
        <w:numPr>
          <w:ilvl w:val="0"/>
          <w:numId w:val="0"/>
        </w:numPr>
        <w:snapToGrid w:val="0"/>
        <w:ind w:firstLine="1687" w:firstLineChars="600"/>
        <w:jc w:val="both"/>
        <w:rPr>
          <w:rFonts w:hint="eastAsia" w:ascii="宋体" w:hAnsi="宋体" w:eastAsia="宋体" w:cs="宋体"/>
          <w:b/>
          <w:bCs/>
          <w:color w:val="000000"/>
          <w:kern w:val="0"/>
          <w:sz w:val="28"/>
          <w:szCs w:val="28"/>
          <w:lang w:val="en-US" w:eastAsia="zh-CN" w:bidi="ar"/>
        </w:rPr>
      </w:pPr>
      <w:bookmarkStart w:id="0" w:name="OLE_LINK12"/>
      <w:r>
        <w:rPr>
          <w:rFonts w:hint="eastAsia" w:ascii="宋体" w:hAnsi="宋体" w:eastAsia="宋体" w:cs="宋体"/>
          <w:i w:val="0"/>
          <w:iCs w:val="0"/>
          <w:caps w:val="0"/>
          <w:color w:val="333333"/>
          <w:spacing w:val="0"/>
          <w:sz w:val="28"/>
          <w:szCs w:val="28"/>
          <w:shd w:val="clear" w:fill="FFFFFF"/>
        </w:rPr>
        <w:t>自动发光测定仪</w:t>
      </w:r>
      <w:r>
        <w:rPr>
          <w:rFonts w:hint="eastAsia" w:ascii="宋体" w:hAnsi="宋体" w:eastAsia="宋体" w:cs="宋体"/>
          <w:i w:val="0"/>
          <w:iCs w:val="0"/>
          <w:caps w:val="0"/>
          <w:color w:val="333333"/>
          <w:spacing w:val="0"/>
          <w:sz w:val="28"/>
          <w:szCs w:val="28"/>
          <w:shd w:val="clear" w:fill="FFFFFF"/>
          <w:lang w:val="en-US" w:eastAsia="zh-CN"/>
        </w:rPr>
        <w:t>试剂</w:t>
      </w:r>
      <w:r>
        <w:rPr>
          <w:rFonts w:hint="eastAsia" w:ascii="宋体" w:hAnsi="宋体" w:eastAsia="宋体" w:cs="宋体"/>
          <w:b/>
          <w:bCs/>
          <w:color w:val="000000"/>
          <w:kern w:val="0"/>
          <w:sz w:val="28"/>
          <w:szCs w:val="28"/>
          <w:lang w:val="en-US" w:eastAsia="zh-CN" w:bidi="ar"/>
        </w:rPr>
        <w:t>（含配套设备租赁）</w:t>
      </w:r>
    </w:p>
    <w:p w14:paraId="68143078">
      <w:pPr>
        <w:pStyle w:val="2"/>
        <w:numPr>
          <w:ilvl w:val="0"/>
          <w:numId w:val="0"/>
        </w:numPr>
        <w:snapToGrid w:val="0"/>
        <w:ind w:firstLine="3092" w:firstLineChars="1100"/>
        <w:jc w:val="both"/>
        <w:rPr>
          <w:rFonts w:hint="eastAsia" w:ascii="宋体" w:hAnsi="宋体" w:eastAsia="宋体" w:cs="宋体"/>
          <w:sz w:val="24"/>
        </w:rPr>
      </w:pPr>
      <w:r>
        <w:rPr>
          <w:rFonts w:hint="eastAsia" w:ascii="宋体" w:hAnsi="宋体" w:eastAsia="宋体" w:cs="宋体"/>
          <w:b/>
          <w:bCs/>
          <w:color w:val="000000"/>
          <w:kern w:val="0"/>
          <w:sz w:val="28"/>
          <w:szCs w:val="28"/>
          <w:lang w:val="en-US" w:eastAsia="zh-CN" w:bidi="ar"/>
        </w:rPr>
        <w:t>采购内容及需求</w:t>
      </w:r>
    </w:p>
    <w:bookmarkEnd w:id="0"/>
    <w:p w14:paraId="28B93F60">
      <w:pPr>
        <w:numPr>
          <w:ilvl w:val="0"/>
          <w:numId w:val="1"/>
        </w:numPr>
        <w:spacing w:line="360" w:lineRule="auto"/>
        <w:rPr>
          <w:rFonts w:hint="eastAsia"/>
          <w:b/>
          <w:bCs/>
          <w:sz w:val="24"/>
        </w:rPr>
      </w:pPr>
      <w:bookmarkStart w:id="1" w:name="OLE_LINK33"/>
      <w:r>
        <w:rPr>
          <w:rFonts w:hint="eastAsia"/>
          <w:b/>
          <w:bCs/>
          <w:sz w:val="24"/>
        </w:rPr>
        <w:t>项目概况：</w:t>
      </w:r>
    </w:p>
    <w:bookmarkEnd w:id="1"/>
    <w:p w14:paraId="4EB4884A">
      <w:pPr>
        <w:spacing w:line="360" w:lineRule="auto"/>
        <w:ind w:firstLine="420" w:firstLineChars="200"/>
        <w:rPr>
          <w:rFonts w:hint="eastAsia" w:ascii="宋体" w:hAnsi="宋体" w:cs="宋体"/>
          <w:bCs/>
          <w:kern w:val="0"/>
          <w:sz w:val="21"/>
          <w:szCs w:val="21"/>
        </w:rPr>
      </w:pPr>
      <w:bookmarkStart w:id="2" w:name="OLE_LINK17"/>
      <w:r>
        <w:rPr>
          <w:rFonts w:hint="eastAsia" w:ascii="宋体" w:hAnsi="宋体" w:eastAsia="宋体" w:cs="宋体"/>
          <w:b w:val="0"/>
          <w:bCs/>
          <w:kern w:val="0"/>
          <w:sz w:val="21"/>
          <w:szCs w:val="21"/>
        </w:rPr>
        <w:t>本项目为</w:t>
      </w:r>
      <w:r>
        <w:rPr>
          <w:rFonts w:hint="eastAsia" w:ascii="宋体" w:hAnsi="宋体" w:eastAsia="宋体" w:cs="宋体"/>
          <w:i w:val="0"/>
          <w:iCs w:val="0"/>
          <w:caps w:val="0"/>
          <w:color w:val="333333"/>
          <w:spacing w:val="0"/>
          <w:sz w:val="21"/>
          <w:szCs w:val="21"/>
          <w:shd w:val="clear" w:fill="FFFFFF"/>
        </w:rPr>
        <w:t>自动发光测定仪</w:t>
      </w:r>
      <w:r>
        <w:rPr>
          <w:rFonts w:hint="eastAsia" w:ascii="宋体" w:hAnsi="宋体" w:eastAsia="宋体" w:cs="宋体"/>
          <w:b w:val="0"/>
          <w:bCs/>
          <w:color w:val="000000"/>
          <w:kern w:val="0"/>
          <w:sz w:val="21"/>
          <w:szCs w:val="21"/>
          <w:lang w:val="en-US" w:eastAsia="zh-CN" w:bidi="ar"/>
        </w:rPr>
        <w:t>试剂（含配套设备租赁）</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cs="宋体"/>
          <w:b w:val="0"/>
          <w:bCs/>
          <w:kern w:val="0"/>
          <w:sz w:val="21"/>
          <w:szCs w:val="21"/>
          <w:lang w:val="en-US" w:eastAsia="zh-CN"/>
        </w:rPr>
        <w:t>为</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 w:val="0"/>
          <w:bCs/>
          <w:kern w:val="0"/>
          <w:sz w:val="21"/>
          <w:szCs w:val="21"/>
          <w:lang w:eastAsia="zh-CN"/>
        </w:rPr>
        <w:t>，</w:t>
      </w:r>
      <w:r>
        <w:rPr>
          <w:rFonts w:hint="eastAsia" w:hAnsi="宋体"/>
          <w:szCs w:val="21"/>
          <w:lang w:val="en-US" w:eastAsia="zh-CN"/>
        </w:rPr>
        <w:t>1年期满后，经甲乙双方认可，合同期限可协商延长1年</w:t>
      </w:r>
      <w:r>
        <w:rPr>
          <w:rFonts w:hint="eastAsia" w:ascii="宋体" w:hAnsi="宋体" w:cs="宋体"/>
          <w:bCs/>
          <w:kern w:val="0"/>
          <w:sz w:val="21"/>
          <w:szCs w:val="21"/>
        </w:rPr>
        <w:t>。</w:t>
      </w:r>
      <w:bookmarkStart w:id="3"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2"/>
    <w:p w14:paraId="36C6F8D1">
      <w:r>
        <w:rPr>
          <w:rFonts w:hint="eastAsia"/>
        </w:rPr>
        <w:t>1、租赁设备的技术要求</w:t>
      </w:r>
    </w:p>
    <w:bookmarkEnd w:id="3"/>
    <w:tbl>
      <w:tblPr>
        <w:tblStyle w:val="5"/>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03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390"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03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390"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hint="eastAsia" w:ascii="宋体" w:hAnsi="宋体" w:cs="宋体"/>
                <w:kern w:val="0"/>
                <w:sz w:val="21"/>
                <w:szCs w:val="21"/>
                <w:lang w:val="en-US" w:eastAsia="zh-CN"/>
              </w:rPr>
              <w:t>主要</w:t>
            </w:r>
            <w:r>
              <w:rPr>
                <w:rFonts w:hint="eastAsia"/>
                <w:sz w:val="21"/>
                <w:szCs w:val="21"/>
              </w:rPr>
              <w:t>用于</w:t>
            </w:r>
            <w:r>
              <w:rPr>
                <w:rFonts w:hint="eastAsia" w:ascii="宋体" w:hAnsi="宋体" w:eastAsia="宋体" w:cs="宋体"/>
                <w:color w:val="000000" w:themeColor="text1"/>
                <w:kern w:val="0"/>
                <w:sz w:val="21"/>
                <w:szCs w:val="21"/>
                <w:lang w:val="en-US" w:eastAsia="zh-CN" w:bidi="ar"/>
              </w:rPr>
              <w:t>梅毒螺旋抗体</w:t>
            </w:r>
            <w:r>
              <w:rPr>
                <w:rFonts w:hint="eastAsia" w:ascii="宋体" w:hAnsi="宋体" w:cs="宋体"/>
                <w:color w:val="000000" w:themeColor="text1"/>
                <w:kern w:val="0"/>
                <w:sz w:val="21"/>
                <w:szCs w:val="21"/>
                <w:lang w:val="en-US" w:eastAsia="zh-CN" w:bidi="ar"/>
              </w:rPr>
              <w:t>、</w:t>
            </w:r>
            <w:r>
              <w:rPr>
                <w:rFonts w:hint="eastAsia" w:ascii="宋体" w:hAnsi="宋体" w:eastAsia="宋体" w:cs="宋体"/>
                <w:color w:val="000000" w:themeColor="text1"/>
                <w:kern w:val="0"/>
                <w:sz w:val="21"/>
                <w:szCs w:val="21"/>
                <w:lang w:val="en-US" w:eastAsia="zh-CN" w:bidi="ar"/>
              </w:rPr>
              <w:t>人类免疫缺陷病毒</w:t>
            </w:r>
            <w:r>
              <w:rPr>
                <w:rFonts w:hint="eastAsia" w:ascii="宋体" w:hAnsi="宋体" w:cs="宋体"/>
                <w:color w:val="000000" w:themeColor="text1"/>
                <w:kern w:val="0"/>
                <w:sz w:val="21"/>
                <w:szCs w:val="21"/>
                <w:lang w:val="en-US" w:eastAsia="zh-CN" w:bidi="ar"/>
              </w:rPr>
              <w:t>、</w:t>
            </w:r>
            <w:r>
              <w:rPr>
                <w:rFonts w:hint="eastAsia" w:ascii="宋体" w:hAnsi="宋体" w:eastAsia="宋体" w:cs="宋体"/>
                <w:color w:val="000000" w:themeColor="text1"/>
                <w:kern w:val="0"/>
                <w:sz w:val="21"/>
                <w:szCs w:val="21"/>
                <w:lang w:val="en-US" w:eastAsia="zh-CN" w:bidi="ar"/>
              </w:rPr>
              <w:t xml:space="preserve">丙型肝炎 </w:t>
            </w:r>
            <w:r>
              <w:rPr>
                <w:rFonts w:hint="eastAsia" w:ascii="宋体" w:hAnsi="宋体" w:cs="宋体"/>
                <w:color w:val="000000" w:themeColor="text1"/>
                <w:kern w:val="0"/>
                <w:sz w:val="21"/>
                <w:szCs w:val="21"/>
                <w:lang w:val="en-US" w:eastAsia="zh-CN" w:bidi="ar"/>
              </w:rPr>
              <w:t>、</w:t>
            </w:r>
            <w:r>
              <w:rPr>
                <w:rFonts w:hint="eastAsia" w:ascii="宋体" w:hAnsi="宋体" w:eastAsia="宋体" w:cs="宋体"/>
                <w:color w:val="000000" w:themeColor="text1"/>
                <w:kern w:val="0"/>
                <w:sz w:val="21"/>
                <w:szCs w:val="21"/>
                <w:lang w:val="en-US" w:eastAsia="zh-CN" w:bidi="ar"/>
              </w:rPr>
              <w:t>乙型表面抗体定量检测</w:t>
            </w:r>
            <w:r>
              <w:rPr>
                <w:rFonts w:hint="eastAsia"/>
                <w:sz w:val="21"/>
                <w:szCs w:val="21"/>
                <w:lang w:val="en-US" w:eastAsia="zh-CN"/>
              </w:rPr>
              <w:t>等急诊四项检测</w:t>
            </w:r>
            <w:r>
              <w:rPr>
                <w:rFonts w:hint="eastAsia" w:ascii="宋体" w:hAnsi="宋体" w:eastAsia="宋体" w:cs="宋体"/>
                <w:b w:val="0"/>
                <w:bCs w:val="0"/>
                <w:kern w:val="0"/>
                <w:sz w:val="21"/>
                <w:szCs w:val="21"/>
                <w:highlight w:val="none"/>
              </w:rPr>
              <w:t>。</w:t>
            </w:r>
          </w:p>
        </w:tc>
        <w:tc>
          <w:tcPr>
            <w:tcW w:w="103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b w:val="0"/>
                <w:bCs w:val="0"/>
                <w:color w:val="auto"/>
                <w:kern w:val="0"/>
                <w:sz w:val="21"/>
                <w:szCs w:val="21"/>
              </w:rPr>
            </w:pPr>
            <w:bookmarkStart w:id="4" w:name="OLE_LINK27" w:colFirst="0" w:colLast="1"/>
            <w:r>
              <w:rPr>
                <w:rFonts w:hint="eastAsia" w:ascii="宋体" w:hAnsi="宋体" w:eastAsia="宋体" w:cs="宋体"/>
                <w:b w:val="0"/>
                <w:bCs w:val="0"/>
                <w:color w:val="auto"/>
                <w:kern w:val="0"/>
                <w:sz w:val="21"/>
                <w:szCs w:val="21"/>
              </w:rPr>
              <w:t>2</w:t>
            </w:r>
          </w:p>
        </w:tc>
        <w:tc>
          <w:tcPr>
            <w:tcW w:w="7390" w:type="dxa"/>
            <w:noWrap/>
            <w:vAlign w:val="center"/>
          </w:tcPr>
          <w:p w14:paraId="178F0264">
            <w:pPr>
              <w:widowControl/>
              <w:spacing w:line="2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主要技术参数要求</w:t>
            </w:r>
          </w:p>
        </w:tc>
        <w:tc>
          <w:tcPr>
            <w:tcW w:w="1035" w:type="dxa"/>
            <w:noWrap/>
            <w:vAlign w:val="center"/>
          </w:tcPr>
          <w:p w14:paraId="024DE72B">
            <w:pPr>
              <w:rPr>
                <w:rFonts w:hint="eastAsia" w:ascii="宋体" w:hAnsi="宋体" w:cs="宋体"/>
                <w:szCs w:val="21"/>
              </w:rPr>
            </w:pPr>
            <w:bookmarkStart w:id="5" w:name="OLE_LINK35"/>
            <w:r>
              <w:rPr>
                <w:rFonts w:hint="eastAsia" w:ascii="宋体" w:hAnsi="宋体" w:cs="宋体"/>
                <w:szCs w:val="21"/>
              </w:rPr>
              <w:t>/</w:t>
            </w:r>
            <w:bookmarkEnd w:id="5"/>
          </w:p>
        </w:tc>
      </w:tr>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val="0"/>
                <w:bCs w:val="0"/>
                <w:color w:val="auto"/>
                <w:kern w:val="0"/>
                <w:sz w:val="21"/>
                <w:szCs w:val="21"/>
              </w:rPr>
            </w:pPr>
            <w:bookmarkStart w:id="6" w:name="OLE_LINK21" w:colFirst="0" w:colLast="1"/>
            <w:bookmarkStart w:id="7" w:name="OLE_LINK2" w:colFirst="0" w:colLast="1"/>
            <w:r>
              <w:rPr>
                <w:rFonts w:hint="eastAsia" w:ascii="宋体" w:hAnsi="宋体" w:eastAsia="宋体" w:cs="宋体"/>
                <w:b w:val="0"/>
                <w:bCs w:val="0"/>
                <w:color w:val="auto"/>
                <w:sz w:val="21"/>
                <w:szCs w:val="21"/>
              </w:rPr>
              <w:t>★2.1</w:t>
            </w:r>
          </w:p>
        </w:tc>
        <w:tc>
          <w:tcPr>
            <w:tcW w:w="7390" w:type="dxa"/>
            <w:noWrap/>
            <w:vAlign w:val="center"/>
          </w:tcPr>
          <w:p w14:paraId="2CC65A98">
            <w:pPr>
              <w:snapToGrid w:val="0"/>
              <w:rPr>
                <w:rFonts w:hint="eastAsia" w:ascii="宋体" w:hAnsi="宋体" w:eastAsia="宋体" w:cs="宋体"/>
                <w:b w:val="0"/>
                <w:bCs w:val="0"/>
                <w:color w:val="auto"/>
                <w:sz w:val="21"/>
                <w:szCs w:val="21"/>
                <w:lang w:val="en-US" w:eastAsia="zh-CN"/>
              </w:rPr>
            </w:pPr>
            <w:r>
              <w:rPr>
                <w:spacing w:val="-2"/>
              </w:rPr>
              <w:t>测定方法</w:t>
            </w:r>
            <w:r>
              <w:rPr>
                <w:rFonts w:hint="eastAsia" w:ascii="宋体" w:hAnsi="宋体" w:eastAsia="宋体" w:cs="宋体"/>
                <w:b w:val="0"/>
                <w:bCs w:val="0"/>
                <w:color w:val="auto"/>
                <w:sz w:val="21"/>
                <w:szCs w:val="21"/>
                <w:lang w:eastAsia="zh-CN"/>
              </w:rPr>
              <w:t>：</w:t>
            </w:r>
            <w:r>
              <w:rPr>
                <w:spacing w:val="3"/>
              </w:rPr>
              <w:t>磁微粒化学发光免疫测定(</w:t>
            </w:r>
            <w:r>
              <w:t>CLIA</w:t>
            </w:r>
            <w:r>
              <w:rPr>
                <w:spacing w:val="3"/>
              </w:rPr>
              <w:t>)</w:t>
            </w:r>
          </w:p>
        </w:tc>
        <w:tc>
          <w:tcPr>
            <w:tcW w:w="1035" w:type="dxa"/>
            <w:noWrap/>
            <w:vAlign w:val="center"/>
          </w:tcPr>
          <w:p w14:paraId="7DD6FC66">
            <w:pPr>
              <w:rPr>
                <w:rFonts w:hint="eastAsia" w:ascii="宋体" w:hAnsi="宋体" w:cs="宋体"/>
                <w:szCs w:val="21"/>
              </w:rPr>
            </w:pPr>
          </w:p>
        </w:tc>
      </w:tr>
      <w:bookmarkEnd w:id="6"/>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b w:val="0"/>
                <w:bCs w:val="0"/>
                <w:color w:val="auto"/>
                <w:kern w:val="0"/>
                <w:sz w:val="21"/>
                <w:szCs w:val="21"/>
                <w:lang w:val="en-US" w:eastAsia="zh-CN"/>
              </w:rPr>
            </w:pPr>
            <w:bookmarkStart w:id="8" w:name="OLE_LINK1" w:colFirst="1" w:colLast="1"/>
            <w:r>
              <w:rPr>
                <w:rFonts w:hint="eastAsia" w:ascii="宋体" w:hAnsi="宋体" w:eastAsia="宋体" w:cs="宋体"/>
                <w:b w:val="0"/>
                <w:bCs w:val="0"/>
                <w:color w:val="auto"/>
                <w:sz w:val="21"/>
                <w:szCs w:val="21"/>
              </w:rPr>
              <w:t>2.2</w:t>
            </w:r>
          </w:p>
        </w:tc>
        <w:tc>
          <w:tcPr>
            <w:tcW w:w="7390" w:type="dxa"/>
            <w:shd w:val="clear" w:color="auto" w:fill="auto"/>
            <w:noWrap/>
            <w:vAlign w:val="center"/>
          </w:tcPr>
          <w:p w14:paraId="5ACFB936">
            <w:pPr>
              <w:jc w:val="left"/>
              <w:rPr>
                <w:rFonts w:hint="eastAsia" w:ascii="宋体" w:hAnsi="宋体" w:eastAsia="宋体" w:cs="宋体"/>
                <w:b w:val="0"/>
                <w:bCs w:val="0"/>
                <w:color w:val="auto"/>
                <w:kern w:val="2"/>
                <w:sz w:val="21"/>
                <w:szCs w:val="21"/>
                <w:lang w:val="en-US" w:eastAsia="zh-CN"/>
              </w:rPr>
            </w:pPr>
            <w:r>
              <w:rPr>
                <w:spacing w:val="-2"/>
              </w:rPr>
              <w:t>联机模式</w:t>
            </w:r>
            <w:r>
              <w:rPr>
                <w:rFonts w:hint="eastAsia" w:ascii="宋体" w:hAnsi="宋体" w:eastAsia="宋体" w:cs="宋体"/>
                <w:b w:val="0"/>
                <w:bCs w:val="0"/>
                <w:color w:val="auto"/>
                <w:sz w:val="21"/>
                <w:szCs w:val="21"/>
                <w:lang w:val="en-US" w:eastAsia="zh-CN"/>
              </w:rPr>
              <w:t>：</w:t>
            </w:r>
            <w:r>
              <w:t>支持1-4台模块联机，软件支持自动负载均衡，样本跟</w:t>
            </w:r>
            <w:r>
              <w:rPr>
                <w:spacing w:val="-1"/>
              </w:rPr>
              <w:t>踪、联机仪器屏蔽功能</w:t>
            </w:r>
          </w:p>
        </w:tc>
        <w:tc>
          <w:tcPr>
            <w:tcW w:w="103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2.3</w:t>
            </w:r>
          </w:p>
        </w:tc>
        <w:tc>
          <w:tcPr>
            <w:tcW w:w="7390" w:type="dxa"/>
            <w:shd w:val="clear" w:color="auto" w:fill="auto"/>
            <w:noWrap/>
            <w:vAlign w:val="center"/>
          </w:tcPr>
          <w:p w14:paraId="2AC0C70C">
            <w:pPr>
              <w:jc w:val="left"/>
              <w:rPr>
                <w:rFonts w:hint="eastAsia" w:ascii="宋体" w:hAnsi="宋体" w:eastAsia="宋体" w:cs="宋体"/>
                <w:b w:val="0"/>
                <w:bCs w:val="0"/>
                <w:color w:val="auto"/>
                <w:kern w:val="2"/>
                <w:sz w:val="21"/>
                <w:szCs w:val="21"/>
                <w:lang w:val="en-US" w:eastAsia="zh-CN"/>
              </w:rPr>
            </w:pPr>
            <w:r>
              <w:rPr>
                <w:spacing w:val="-2"/>
              </w:rPr>
              <w:t>检测速度</w:t>
            </w:r>
            <w:r>
              <w:rPr>
                <w:rFonts w:hint="eastAsia" w:ascii="宋体" w:hAnsi="宋体" w:eastAsia="宋体" w:cs="宋体"/>
                <w:b w:val="0"/>
                <w:bCs w:val="0"/>
                <w:color w:val="auto"/>
                <w:spacing w:val="-20"/>
                <w:sz w:val="21"/>
                <w:szCs w:val="21"/>
                <w:lang w:eastAsia="zh-CN"/>
              </w:rPr>
              <w:t>：</w:t>
            </w:r>
            <w:r>
              <w:rPr>
                <w:spacing w:val="-1"/>
              </w:rPr>
              <w:t>单模块</w:t>
            </w:r>
            <w:bookmarkStart w:id="9" w:name="OLE_LINK7"/>
            <w:r>
              <w:rPr>
                <w:rFonts w:hint="eastAsia" w:ascii="宋体" w:hAnsi="宋体" w:eastAsia="宋体" w:cs="宋体"/>
                <w:b w:val="0"/>
                <w:bCs w:val="0"/>
                <w:color w:val="auto"/>
                <w:sz w:val="21"/>
                <w:szCs w:val="21"/>
              </w:rPr>
              <w:t>≥</w:t>
            </w:r>
            <w:bookmarkEnd w:id="9"/>
            <w:r>
              <w:rPr>
                <w:spacing w:val="-1"/>
              </w:rPr>
              <w:t>600T/H</w:t>
            </w:r>
          </w:p>
        </w:tc>
        <w:tc>
          <w:tcPr>
            <w:tcW w:w="1035" w:type="dxa"/>
            <w:noWrap/>
            <w:vAlign w:val="center"/>
          </w:tcPr>
          <w:p w14:paraId="0ADB4B05">
            <w:pPr>
              <w:rPr>
                <w:rFonts w:hint="eastAsia" w:ascii="宋体" w:hAnsi="宋体" w:cs="宋体"/>
                <w:szCs w:val="21"/>
              </w:rPr>
            </w:pPr>
          </w:p>
        </w:tc>
      </w:tr>
      <w:bookmarkEnd w:id="8"/>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b w:val="0"/>
                <w:bCs w:val="0"/>
                <w:color w:val="auto"/>
                <w:kern w:val="0"/>
                <w:sz w:val="21"/>
                <w:szCs w:val="21"/>
                <w:lang w:val="en-US" w:eastAsia="zh-CN"/>
              </w:rPr>
            </w:pPr>
            <w:bookmarkStart w:id="10" w:name="OLE_LINK6" w:colFirst="1" w:colLast="1"/>
            <w:r>
              <w:rPr>
                <w:rFonts w:hint="eastAsia" w:ascii="宋体" w:hAnsi="宋体" w:eastAsia="宋体" w:cs="宋体"/>
                <w:b w:val="0"/>
                <w:bCs w:val="0"/>
                <w:color w:val="auto"/>
                <w:sz w:val="21"/>
                <w:szCs w:val="21"/>
              </w:rPr>
              <w:t>2.4</w:t>
            </w:r>
          </w:p>
        </w:tc>
        <w:tc>
          <w:tcPr>
            <w:tcW w:w="7390" w:type="dxa"/>
            <w:shd w:val="clear" w:color="auto" w:fill="auto"/>
            <w:noWrap/>
            <w:vAlign w:val="top"/>
          </w:tcPr>
          <w:p w14:paraId="441B6251">
            <w:pPr>
              <w:rPr>
                <w:rFonts w:hint="eastAsia" w:ascii="宋体" w:hAnsi="宋体" w:eastAsia="宋体" w:cs="宋体"/>
                <w:b w:val="0"/>
                <w:bCs w:val="0"/>
                <w:kern w:val="2"/>
                <w:sz w:val="21"/>
                <w:szCs w:val="21"/>
                <w:lang w:val="en-US" w:eastAsia="zh-CN"/>
              </w:rPr>
            </w:pPr>
            <w:r>
              <w:rPr>
                <w:spacing w:val="1"/>
              </w:rPr>
              <w:t>急诊方式</w:t>
            </w:r>
            <w:r>
              <w:rPr>
                <w:rFonts w:hint="eastAsia"/>
                <w:spacing w:val="1"/>
                <w:lang w:eastAsia="zh-CN"/>
              </w:rPr>
              <w:t>：</w:t>
            </w:r>
            <w:r>
              <w:t>急诊标本优先通道支持连续进样，每次可同时添加</w:t>
            </w:r>
            <w:r>
              <w:rPr>
                <w:rFonts w:hint="eastAsia" w:ascii="宋体" w:hAnsi="宋体" w:eastAsia="宋体" w:cs="宋体"/>
                <w:b w:val="0"/>
                <w:bCs w:val="0"/>
                <w:color w:val="auto"/>
                <w:sz w:val="21"/>
                <w:szCs w:val="21"/>
              </w:rPr>
              <w:t>≥</w:t>
            </w:r>
            <w:r>
              <w:t>5个急诊标本；急诊标本优先于</w:t>
            </w:r>
            <w:r>
              <w:rPr>
                <w:spacing w:val="19"/>
              </w:rPr>
              <w:t>在检标本；</w:t>
            </w:r>
          </w:p>
        </w:tc>
        <w:tc>
          <w:tcPr>
            <w:tcW w:w="1035" w:type="dxa"/>
            <w:noWrap/>
            <w:vAlign w:val="center"/>
          </w:tcPr>
          <w:p w14:paraId="0D8EA71B">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2.5</w:t>
            </w:r>
          </w:p>
        </w:tc>
        <w:tc>
          <w:tcPr>
            <w:tcW w:w="7390" w:type="dxa"/>
            <w:shd w:val="clear" w:color="auto" w:fill="auto"/>
            <w:noWrap/>
            <w:vAlign w:val="top"/>
          </w:tcPr>
          <w:p w14:paraId="725CAD91">
            <w:pPr>
              <w:rPr>
                <w:rFonts w:hint="eastAsia" w:ascii="宋体" w:hAnsi="宋体" w:eastAsia="宋体" w:cs="宋体"/>
                <w:b w:val="0"/>
                <w:bCs w:val="0"/>
                <w:kern w:val="2"/>
                <w:sz w:val="21"/>
                <w:szCs w:val="21"/>
                <w:lang w:val="en-US" w:eastAsia="zh-CN"/>
              </w:rPr>
            </w:pPr>
            <w:r>
              <w:rPr>
                <w:spacing w:val="-2"/>
              </w:rPr>
              <w:t>进样方式</w:t>
            </w:r>
            <w:r>
              <w:rPr>
                <w:rFonts w:hint="eastAsia"/>
                <w:spacing w:val="-2"/>
                <w:lang w:eastAsia="zh-CN"/>
              </w:rPr>
              <w:t>：</w:t>
            </w:r>
            <w:r>
              <w:rPr>
                <w:rFonts w:hint="eastAsia" w:ascii="宋体" w:hAnsi="宋体" w:eastAsia="宋体" w:cs="宋体"/>
                <w:b w:val="0"/>
                <w:bCs w:val="0"/>
                <w:color w:val="auto"/>
                <w:sz w:val="21"/>
                <w:szCs w:val="21"/>
              </w:rPr>
              <w:t>≥</w:t>
            </w:r>
            <w:r>
              <w:t>三轨道式进样，有急诊标本轨道、常规标本轨道、标本返回轨道，支持自动复测</w:t>
            </w:r>
            <w:r>
              <w:rPr>
                <w:spacing w:val="15"/>
              </w:rPr>
              <w:t xml:space="preserve"> </w:t>
            </w:r>
            <w:r>
              <w:t>、自动测试关联项、超限自动稀释复测</w:t>
            </w:r>
          </w:p>
        </w:tc>
        <w:tc>
          <w:tcPr>
            <w:tcW w:w="1035" w:type="dxa"/>
            <w:noWrap/>
            <w:vAlign w:val="center"/>
          </w:tcPr>
          <w:p w14:paraId="02804536">
            <w:pPr>
              <w:rPr>
                <w:rFonts w:hint="eastAsia" w:ascii="宋体" w:hAnsi="宋体" w:cs="宋体"/>
                <w:szCs w:val="21"/>
              </w:rPr>
            </w:pPr>
          </w:p>
        </w:tc>
      </w:tr>
      <w:bookmarkEnd w:id="4"/>
      <w:bookmarkEnd w:id="10"/>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sz w:val="21"/>
                <w:szCs w:val="21"/>
              </w:rPr>
              <w:t>2.6</w:t>
            </w:r>
          </w:p>
        </w:tc>
        <w:tc>
          <w:tcPr>
            <w:tcW w:w="7390" w:type="dxa"/>
            <w:shd w:val="clear" w:color="auto" w:fill="auto"/>
            <w:noWrap/>
            <w:vAlign w:val="center"/>
          </w:tcPr>
          <w:p w14:paraId="3B10177E">
            <w:pPr>
              <w:snapToGrid w:val="0"/>
              <w:rPr>
                <w:rFonts w:hint="eastAsia" w:ascii="宋体" w:hAnsi="宋体" w:eastAsia="宋体" w:cs="宋体"/>
                <w:b w:val="0"/>
                <w:bCs w:val="0"/>
                <w:color w:val="auto"/>
                <w:kern w:val="2"/>
                <w:sz w:val="21"/>
                <w:szCs w:val="21"/>
                <w:lang w:val="en-US" w:eastAsia="zh-CN"/>
              </w:rPr>
            </w:pPr>
            <w:r>
              <w:rPr>
                <w:spacing w:val="3"/>
              </w:rPr>
              <w:t>样本类型</w:t>
            </w:r>
            <w:r>
              <w:rPr>
                <w:rFonts w:hint="eastAsia"/>
                <w:spacing w:val="3"/>
                <w:lang w:eastAsia="zh-CN"/>
              </w:rPr>
              <w:t>：</w:t>
            </w:r>
            <w:r>
              <w:rPr>
                <w:spacing w:val="-1"/>
              </w:rPr>
              <w:t>血清、血浆、尿液等标本</w:t>
            </w:r>
          </w:p>
        </w:tc>
        <w:tc>
          <w:tcPr>
            <w:tcW w:w="103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eastAsia" w:ascii="宋体" w:hAnsi="宋体" w:eastAsia="宋体" w:cs="宋体"/>
                <w:b w:val="0"/>
                <w:bCs w:val="0"/>
                <w:kern w:val="0"/>
                <w:sz w:val="21"/>
                <w:szCs w:val="21"/>
                <w:lang w:val="en-US" w:eastAsia="zh-CN"/>
              </w:rPr>
            </w:pPr>
            <w:bookmarkStart w:id="11" w:name="OLE_LINK19" w:colFirst="1" w:colLast="1"/>
            <w:bookmarkStart w:id="12" w:name="OLE_LINK20" w:colFirst="0" w:colLast="1"/>
            <w:r>
              <w:rPr>
                <w:rFonts w:hint="eastAsia" w:ascii="宋体" w:hAnsi="宋体" w:eastAsia="宋体" w:cs="宋体"/>
                <w:b w:val="0"/>
                <w:bCs w:val="0"/>
                <w:sz w:val="21"/>
                <w:szCs w:val="21"/>
              </w:rPr>
              <w:t>2.7</w:t>
            </w:r>
          </w:p>
        </w:tc>
        <w:tc>
          <w:tcPr>
            <w:tcW w:w="7390" w:type="dxa"/>
            <w:shd w:val="clear" w:color="auto" w:fill="auto"/>
            <w:noWrap/>
            <w:vAlign w:val="center"/>
          </w:tcPr>
          <w:p w14:paraId="175A8F51">
            <w:pPr>
              <w:snapToGrid w:val="0"/>
              <w:rPr>
                <w:rFonts w:hint="eastAsia" w:ascii="宋体" w:hAnsi="宋体" w:eastAsia="宋体" w:cs="宋体"/>
                <w:b w:val="0"/>
                <w:bCs w:val="0"/>
                <w:color w:val="auto"/>
                <w:kern w:val="2"/>
                <w:sz w:val="21"/>
                <w:szCs w:val="21"/>
                <w:lang w:val="en-US" w:eastAsia="zh-CN"/>
              </w:rPr>
            </w:pPr>
            <w:r>
              <w:t>单个样本管理模块每批次可装载150个</w:t>
            </w:r>
            <w:r>
              <w:rPr>
                <w:rFonts w:hint="eastAsia"/>
                <w:lang w:val="en-US" w:eastAsia="zh-CN"/>
              </w:rPr>
              <w:t>以上</w:t>
            </w:r>
            <w:r>
              <w:t>样本，可持续追加标</w:t>
            </w:r>
            <w:r>
              <w:rPr>
                <w:spacing w:val="-1"/>
              </w:rPr>
              <w:t>本；</w:t>
            </w:r>
            <w:r>
              <w:rPr>
                <w:rFonts w:hint="eastAsia"/>
                <w:spacing w:val="-1"/>
                <w:lang w:val="en-US" w:eastAsia="zh-CN"/>
              </w:rPr>
              <w:t>可</w:t>
            </w:r>
            <w:r>
              <w:rPr>
                <w:spacing w:val="-1"/>
              </w:rPr>
              <w:t>支持双模块SDM联</w:t>
            </w:r>
            <w:r>
              <w:t>机</w:t>
            </w:r>
            <w:r>
              <w:rPr>
                <w:rFonts w:hint="eastAsia"/>
                <w:lang w:eastAsia="zh-CN"/>
              </w:rPr>
              <w:t>。</w:t>
            </w:r>
          </w:p>
        </w:tc>
        <w:tc>
          <w:tcPr>
            <w:tcW w:w="1035" w:type="dxa"/>
            <w:noWrap/>
            <w:vAlign w:val="center"/>
          </w:tcPr>
          <w:p w14:paraId="6635FCA9">
            <w:pPr>
              <w:rPr>
                <w:rFonts w:hint="eastAsia" w:ascii="宋体" w:hAnsi="宋体" w:cs="宋体"/>
                <w:szCs w:val="21"/>
              </w:rPr>
            </w:pPr>
          </w:p>
        </w:tc>
      </w:tr>
      <w:tr w14:paraId="6962E4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568C395">
            <w:pPr>
              <w:snapToGrid w:val="0"/>
              <w:jc w:val="center"/>
              <w:rPr>
                <w:rFonts w:hint="default" w:ascii="宋体" w:hAnsi="宋体" w:eastAsia="宋体" w:cs="宋体"/>
                <w:b w:val="0"/>
                <w:bCs w:val="0"/>
                <w:sz w:val="21"/>
                <w:szCs w:val="21"/>
                <w:lang w:val="en-US" w:eastAsia="zh-CN"/>
              </w:rPr>
            </w:pPr>
            <w:bookmarkStart w:id="13" w:name="OLE_LINK15"/>
            <w:bookmarkStart w:id="14" w:name="OLE_LINK30" w:colFirst="1" w:colLast="2"/>
            <w:bookmarkStart w:id="15" w:name="OLE_LINK16" w:colFirst="0" w:colLast="1"/>
            <w:r>
              <w:rPr>
                <w:rFonts w:hint="eastAsia" w:ascii="宋体" w:hAnsi="宋体" w:cs="宋体"/>
                <w:b w:val="0"/>
                <w:bCs w:val="0"/>
                <w:sz w:val="21"/>
                <w:szCs w:val="21"/>
                <w:lang w:val="en-US" w:eastAsia="zh-CN"/>
              </w:rPr>
              <w:t>2.8</w:t>
            </w:r>
          </w:p>
        </w:tc>
        <w:tc>
          <w:tcPr>
            <w:tcW w:w="7390" w:type="dxa"/>
            <w:shd w:val="clear" w:color="auto" w:fill="auto"/>
            <w:noWrap/>
            <w:vAlign w:val="center"/>
          </w:tcPr>
          <w:p w14:paraId="69B7E237">
            <w:pPr>
              <w:snapToGrid w:val="0"/>
            </w:pPr>
            <w:r>
              <w:rPr>
                <w:spacing w:val="-2"/>
              </w:rPr>
              <w:t>样本针</w:t>
            </w:r>
            <w:r>
              <w:rPr>
                <w:rFonts w:hint="eastAsia"/>
                <w:spacing w:val="-2"/>
                <w:lang w:val="en-US" w:eastAsia="zh-CN"/>
              </w:rPr>
              <w:t>应</w:t>
            </w:r>
            <w:r>
              <w:t>具备液面检测、空吸检测、防撞检测、凝块检测功能</w:t>
            </w:r>
          </w:p>
        </w:tc>
        <w:tc>
          <w:tcPr>
            <w:tcW w:w="1035" w:type="dxa"/>
            <w:noWrap/>
            <w:vAlign w:val="center"/>
          </w:tcPr>
          <w:p w14:paraId="6141E442">
            <w:pPr>
              <w:rPr>
                <w:rFonts w:hint="eastAsia" w:ascii="宋体" w:hAnsi="宋体" w:cs="宋体"/>
                <w:szCs w:val="21"/>
              </w:rPr>
            </w:pPr>
          </w:p>
        </w:tc>
      </w:tr>
      <w:tr w14:paraId="66E2A6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944D49E">
            <w:pPr>
              <w:snapToGrid w:val="0"/>
              <w:jc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2.9</w:t>
            </w:r>
          </w:p>
        </w:tc>
        <w:tc>
          <w:tcPr>
            <w:tcW w:w="7390" w:type="dxa"/>
            <w:shd w:val="clear" w:color="auto" w:fill="auto"/>
            <w:noWrap/>
            <w:vAlign w:val="center"/>
          </w:tcPr>
          <w:p w14:paraId="3603BFF5">
            <w:pPr>
              <w:snapToGrid w:val="0"/>
              <w:rPr>
                <w:spacing w:val="-2"/>
              </w:rPr>
            </w:pPr>
            <w:r>
              <w:rPr>
                <w:spacing w:val="-2"/>
              </w:rPr>
              <w:t>试剂位</w:t>
            </w:r>
            <w:r>
              <w:rPr>
                <w:rFonts w:hint="eastAsia"/>
                <w:spacing w:val="-2"/>
                <w:lang w:val="en-US" w:eastAsia="zh-CN"/>
              </w:rPr>
              <w:t>应</w:t>
            </w:r>
            <w:r>
              <w:rPr>
                <w:spacing w:val="-1"/>
              </w:rPr>
              <w:t>双盘设计，双盘独立运行，单台分析模块</w:t>
            </w:r>
            <w:r>
              <w:rPr>
                <w:rFonts w:hint="eastAsia" w:ascii="宋体" w:hAnsi="宋体" w:eastAsia="宋体" w:cs="宋体"/>
                <w:b w:val="0"/>
                <w:bCs w:val="0"/>
                <w:color w:val="auto"/>
                <w:sz w:val="21"/>
                <w:szCs w:val="21"/>
              </w:rPr>
              <w:t>≥</w:t>
            </w:r>
            <w:r>
              <w:rPr>
                <w:spacing w:val="-1"/>
              </w:rPr>
              <w:t>50个试剂位</w:t>
            </w:r>
          </w:p>
        </w:tc>
        <w:tc>
          <w:tcPr>
            <w:tcW w:w="1035" w:type="dxa"/>
            <w:noWrap/>
            <w:vAlign w:val="center"/>
          </w:tcPr>
          <w:p w14:paraId="5CEEB3DD">
            <w:pPr>
              <w:rPr>
                <w:rFonts w:hint="eastAsia" w:ascii="宋体" w:hAnsi="宋体" w:cs="宋体"/>
                <w:szCs w:val="21"/>
              </w:rPr>
            </w:pPr>
          </w:p>
        </w:tc>
      </w:tr>
      <w:tr w14:paraId="3749C2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A042E00">
            <w:pPr>
              <w:snapToGrid w:val="0"/>
              <w:jc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2.10</w:t>
            </w:r>
          </w:p>
        </w:tc>
        <w:tc>
          <w:tcPr>
            <w:tcW w:w="7390" w:type="dxa"/>
            <w:shd w:val="clear" w:color="auto" w:fill="auto"/>
            <w:noWrap/>
            <w:vAlign w:val="center"/>
          </w:tcPr>
          <w:p w14:paraId="02BC8DE4">
            <w:pPr>
              <w:snapToGrid w:val="0"/>
              <w:rPr>
                <w:spacing w:val="-2"/>
              </w:rPr>
            </w:pPr>
            <w:r>
              <w:t>双试剂针独立运行，具备液面探测检测、防撞</w:t>
            </w:r>
            <w:r>
              <w:rPr>
                <w:spacing w:val="-1"/>
              </w:rPr>
              <w:t>检测、空吸检测功能</w:t>
            </w:r>
          </w:p>
        </w:tc>
        <w:tc>
          <w:tcPr>
            <w:tcW w:w="1035" w:type="dxa"/>
            <w:noWrap/>
            <w:vAlign w:val="center"/>
          </w:tcPr>
          <w:p w14:paraId="38908EA5">
            <w:pPr>
              <w:rPr>
                <w:rFonts w:hint="eastAsia" w:ascii="宋体" w:hAnsi="宋体" w:cs="宋体"/>
                <w:szCs w:val="21"/>
              </w:rPr>
            </w:pPr>
          </w:p>
        </w:tc>
      </w:tr>
      <w:tr w14:paraId="6C9E6B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7A1FE68C">
            <w:pPr>
              <w:snapToGrid w:val="0"/>
              <w:jc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2.11</w:t>
            </w:r>
          </w:p>
        </w:tc>
        <w:tc>
          <w:tcPr>
            <w:tcW w:w="7390" w:type="dxa"/>
            <w:shd w:val="clear" w:color="auto" w:fill="auto"/>
            <w:noWrap/>
            <w:vAlign w:val="center"/>
          </w:tcPr>
          <w:p w14:paraId="42BEE0A2">
            <w:pPr>
              <w:snapToGrid w:val="0"/>
              <w:rPr>
                <w:spacing w:val="-2"/>
              </w:rPr>
            </w:pPr>
            <w:r>
              <w:rPr>
                <w:spacing w:val="-2"/>
              </w:rPr>
              <w:t>试剂盒</w:t>
            </w:r>
            <w:r>
              <w:t>无需手工混匀即可上机，支持上机快速混匀、不间断混匀</w:t>
            </w:r>
          </w:p>
        </w:tc>
        <w:tc>
          <w:tcPr>
            <w:tcW w:w="1035" w:type="dxa"/>
            <w:noWrap/>
            <w:vAlign w:val="center"/>
          </w:tcPr>
          <w:p w14:paraId="67A49862">
            <w:pPr>
              <w:rPr>
                <w:rFonts w:hint="eastAsia" w:ascii="宋体" w:hAnsi="宋体" w:cs="宋体"/>
                <w:szCs w:val="21"/>
              </w:rPr>
            </w:pPr>
          </w:p>
        </w:tc>
      </w:tr>
      <w:tr w14:paraId="1F5818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F430B07">
            <w:pPr>
              <w:snapToGrid w:val="0"/>
              <w:jc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2.12</w:t>
            </w:r>
          </w:p>
        </w:tc>
        <w:tc>
          <w:tcPr>
            <w:tcW w:w="7390" w:type="dxa"/>
            <w:shd w:val="clear" w:color="auto" w:fill="auto"/>
            <w:noWrap/>
            <w:vAlign w:val="center"/>
          </w:tcPr>
          <w:p w14:paraId="27EC8827">
            <w:pPr>
              <w:snapToGrid w:val="0"/>
              <w:rPr>
                <w:spacing w:val="-2"/>
              </w:rPr>
            </w:pPr>
            <w:r>
              <w:t>支持不停机添加及更换试剂，通过RFID射频扫码，</w:t>
            </w:r>
            <w:r>
              <w:rPr>
                <w:spacing w:val="-1"/>
              </w:rPr>
              <w:t>实时记录试剂使用情况</w:t>
            </w:r>
          </w:p>
        </w:tc>
        <w:tc>
          <w:tcPr>
            <w:tcW w:w="1035" w:type="dxa"/>
            <w:noWrap/>
            <w:vAlign w:val="center"/>
          </w:tcPr>
          <w:p w14:paraId="291B1863">
            <w:pPr>
              <w:rPr>
                <w:rFonts w:hint="eastAsia" w:ascii="宋体" w:hAnsi="宋体" w:cs="宋体"/>
                <w:szCs w:val="21"/>
              </w:rPr>
            </w:pPr>
          </w:p>
        </w:tc>
      </w:tr>
      <w:tr w14:paraId="46A9FC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CD79226">
            <w:pPr>
              <w:snapToGrid w:val="0"/>
              <w:jc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2.13</w:t>
            </w:r>
          </w:p>
        </w:tc>
        <w:tc>
          <w:tcPr>
            <w:tcW w:w="7390" w:type="dxa"/>
            <w:shd w:val="clear" w:color="auto" w:fill="auto"/>
            <w:noWrap/>
            <w:vAlign w:val="center"/>
          </w:tcPr>
          <w:p w14:paraId="71D324B5">
            <w:pPr>
              <w:snapToGrid w:val="0"/>
              <w:rPr>
                <w:rFonts w:hint="eastAsia" w:eastAsia="宋体"/>
                <w:spacing w:val="-2"/>
                <w:lang w:val="en-US" w:eastAsia="zh-CN"/>
              </w:rPr>
            </w:pPr>
            <w:r>
              <w:rPr>
                <w:spacing w:val="-2"/>
              </w:rPr>
              <w:t>反应单元</w:t>
            </w:r>
            <w:r>
              <w:rPr>
                <w:rFonts w:hint="eastAsia"/>
                <w:spacing w:val="-2"/>
                <w:lang w:val="en-US" w:eastAsia="zh-CN"/>
              </w:rPr>
              <w:t>的</w:t>
            </w:r>
            <w:r>
              <w:rPr>
                <w:spacing w:val="-2"/>
              </w:rPr>
              <w:t>混匀方式</w:t>
            </w:r>
            <w:r>
              <w:rPr>
                <w:rFonts w:hint="eastAsia"/>
                <w:spacing w:val="-2"/>
                <w:lang w:eastAsia="zh-CN"/>
              </w:rPr>
              <w:t>：</w:t>
            </w:r>
            <w:r>
              <w:rPr>
                <w:spacing w:val="1"/>
              </w:rPr>
              <w:t>非接触式倾角震荡混匀</w:t>
            </w:r>
          </w:p>
        </w:tc>
        <w:tc>
          <w:tcPr>
            <w:tcW w:w="1035" w:type="dxa"/>
            <w:noWrap/>
            <w:vAlign w:val="center"/>
          </w:tcPr>
          <w:p w14:paraId="4DA28117">
            <w:pPr>
              <w:rPr>
                <w:rFonts w:hint="eastAsia" w:ascii="宋体" w:hAnsi="宋体" w:cs="宋体"/>
                <w:szCs w:val="21"/>
              </w:rPr>
            </w:pPr>
          </w:p>
        </w:tc>
      </w:tr>
      <w:tr w14:paraId="5D7959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759DF095">
            <w:pPr>
              <w:snapToGrid w:val="0"/>
              <w:jc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2.14</w:t>
            </w:r>
          </w:p>
        </w:tc>
        <w:tc>
          <w:tcPr>
            <w:tcW w:w="7390" w:type="dxa"/>
            <w:shd w:val="clear" w:color="auto" w:fill="auto"/>
            <w:noWrap/>
            <w:vAlign w:val="center"/>
          </w:tcPr>
          <w:p w14:paraId="4A2F23DB">
            <w:pPr>
              <w:snapToGrid w:val="0"/>
              <w:rPr>
                <w:spacing w:val="-2"/>
              </w:rPr>
            </w:pPr>
            <w:r>
              <w:rPr>
                <w:spacing w:val="2"/>
              </w:rPr>
              <w:t>反应温度</w:t>
            </w:r>
            <w:r>
              <w:rPr>
                <w:rFonts w:hint="eastAsia"/>
                <w:spacing w:val="2"/>
                <w:lang w:val="en-US" w:eastAsia="zh-CN"/>
              </w:rPr>
              <w:t>为</w:t>
            </w:r>
            <w:r>
              <w:rPr>
                <w:spacing w:val="-1"/>
              </w:rPr>
              <w:t>37℃±0.5℃</w:t>
            </w:r>
          </w:p>
        </w:tc>
        <w:tc>
          <w:tcPr>
            <w:tcW w:w="1035" w:type="dxa"/>
            <w:noWrap/>
            <w:vAlign w:val="center"/>
          </w:tcPr>
          <w:p w14:paraId="5B650316">
            <w:pPr>
              <w:rPr>
                <w:rFonts w:hint="eastAsia" w:ascii="宋体" w:hAnsi="宋体" w:cs="宋体"/>
                <w:szCs w:val="21"/>
              </w:rPr>
            </w:pPr>
          </w:p>
        </w:tc>
      </w:tr>
      <w:tr w14:paraId="74BF2C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00D2BBC">
            <w:pPr>
              <w:snapToGrid w:val="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ascii="宋体" w:hAnsi="宋体" w:cs="宋体"/>
                <w:b w:val="0"/>
                <w:bCs w:val="0"/>
                <w:sz w:val="21"/>
                <w:szCs w:val="21"/>
                <w:lang w:val="en-US" w:eastAsia="zh-CN"/>
              </w:rPr>
              <w:t>15</w:t>
            </w:r>
          </w:p>
        </w:tc>
        <w:tc>
          <w:tcPr>
            <w:tcW w:w="7390" w:type="dxa"/>
            <w:shd w:val="clear" w:color="auto" w:fill="auto"/>
            <w:noWrap/>
            <w:vAlign w:val="center"/>
          </w:tcPr>
          <w:p w14:paraId="30EC364A">
            <w:pPr>
              <w:jc w:val="left"/>
              <w:rPr>
                <w:rFonts w:hint="eastAsia" w:ascii="宋体" w:hAnsi="宋体" w:eastAsia="宋体" w:cs="宋体"/>
                <w:b w:val="0"/>
                <w:bCs w:val="0"/>
                <w:color w:val="auto"/>
                <w:kern w:val="2"/>
                <w:sz w:val="21"/>
                <w:szCs w:val="21"/>
                <w:lang w:val="en-US" w:eastAsia="zh-CN"/>
              </w:rPr>
            </w:pPr>
            <w:r>
              <w:rPr>
                <w:rFonts w:hint="eastAsia"/>
                <w:color w:val="000000"/>
                <w:lang w:val="en-US" w:eastAsia="zh-CN"/>
              </w:rPr>
              <w:t>具备</w:t>
            </w:r>
            <w:r>
              <w:rPr>
                <w:rFonts w:hint="eastAsia"/>
                <w:color w:val="000000"/>
              </w:rPr>
              <w:t>通用网络接口，</w:t>
            </w:r>
            <w:r>
              <w:rPr>
                <w:spacing w:val="-1"/>
              </w:rPr>
              <w:t>支持LIS单工、双工</w:t>
            </w:r>
            <w:r>
              <w:rPr>
                <w:rFonts w:hint="eastAsia"/>
                <w:spacing w:val="-1"/>
                <w:lang w:val="en-US" w:eastAsia="zh-CN"/>
              </w:rPr>
              <w:t>；</w:t>
            </w:r>
            <w:r>
              <w:rPr>
                <w:spacing w:val="1"/>
              </w:rPr>
              <w:t>联网后支持远程升级</w:t>
            </w:r>
          </w:p>
        </w:tc>
        <w:tc>
          <w:tcPr>
            <w:tcW w:w="1035" w:type="dxa"/>
            <w:noWrap/>
            <w:vAlign w:val="center"/>
          </w:tcPr>
          <w:p w14:paraId="17425532">
            <w:pPr>
              <w:rPr>
                <w:rFonts w:hint="eastAsia" w:ascii="宋体" w:hAnsi="宋体" w:cs="宋体"/>
                <w:color w:val="auto"/>
                <w:szCs w:val="21"/>
              </w:rPr>
            </w:pPr>
          </w:p>
        </w:tc>
      </w:tr>
      <w:bookmarkEnd w:id="11"/>
      <w:bookmarkEnd w:id="12"/>
      <w:bookmarkEnd w:id="13"/>
      <w:bookmarkEnd w:id="14"/>
      <w:bookmarkEnd w:id="15"/>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eastAsia" w:ascii="宋体" w:hAnsi="宋体" w:eastAsia="宋体" w:cs="宋体"/>
                <w:b w:val="0"/>
                <w:bCs w:val="0"/>
                <w:kern w:val="0"/>
                <w:sz w:val="21"/>
                <w:szCs w:val="21"/>
                <w:lang w:val="en-US" w:eastAsia="zh-CN"/>
              </w:rPr>
            </w:pPr>
            <w:bookmarkStart w:id="16" w:name="OLE_LINK22" w:colFirst="1" w:colLast="1"/>
            <w:r>
              <w:rPr>
                <w:rFonts w:hint="eastAsia" w:ascii="宋体" w:hAnsi="宋体" w:eastAsia="宋体" w:cs="宋体"/>
                <w:b w:val="0"/>
                <w:bCs w:val="0"/>
                <w:sz w:val="21"/>
                <w:szCs w:val="21"/>
              </w:rPr>
              <w:t>▲3</w:t>
            </w:r>
          </w:p>
        </w:tc>
        <w:tc>
          <w:tcPr>
            <w:tcW w:w="7390" w:type="dxa"/>
            <w:noWrap/>
            <w:vAlign w:val="center"/>
          </w:tcPr>
          <w:p w14:paraId="53D1FFB0">
            <w:pPr>
              <w:snapToGrid w:val="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设备注册要求</w:t>
            </w:r>
            <w:r>
              <w:rPr>
                <w:rFonts w:hint="eastAsia" w:ascii="宋体" w:hAnsi="宋体" w:eastAsia="宋体" w:cs="宋体"/>
                <w:b w:val="0"/>
                <w:bCs w:val="0"/>
                <w:sz w:val="21"/>
                <w:szCs w:val="21"/>
                <w:lang w:eastAsia="zh-CN"/>
              </w:rPr>
              <w:t>：：</w:t>
            </w:r>
            <w:r>
              <w:rPr>
                <w:rFonts w:hint="eastAsia" w:ascii="宋体" w:hAnsi="宋体" w:eastAsia="宋体" w:cs="宋体"/>
                <w:i w:val="0"/>
                <w:iCs w:val="0"/>
                <w:caps w:val="0"/>
                <w:color w:val="333333"/>
                <w:spacing w:val="0"/>
                <w:sz w:val="21"/>
                <w:szCs w:val="21"/>
                <w:shd w:val="clear" w:fill="FFFFFF"/>
              </w:rPr>
              <w:t>自动发光测定仪</w:t>
            </w:r>
            <w:r>
              <w:rPr>
                <w:rFonts w:hint="eastAsia" w:ascii="宋体" w:hAnsi="宋体" w:eastAsia="宋体" w:cs="宋体"/>
                <w:b w:val="0"/>
                <w:bCs w:val="0"/>
                <w:sz w:val="21"/>
                <w:szCs w:val="21"/>
              </w:rPr>
              <w:t>具有医疗器械注册证；（投标文件中装订复印件加盖投标单位公章）</w:t>
            </w:r>
          </w:p>
        </w:tc>
        <w:tc>
          <w:tcPr>
            <w:tcW w:w="1035" w:type="dxa"/>
            <w:noWrap/>
            <w:vAlign w:val="center"/>
          </w:tcPr>
          <w:p w14:paraId="794BBBB1">
            <w:pPr>
              <w:rPr>
                <w:rFonts w:hint="eastAsia" w:ascii="宋体" w:hAnsi="宋体" w:cs="宋体"/>
                <w:szCs w:val="21"/>
              </w:rPr>
            </w:pPr>
          </w:p>
        </w:tc>
      </w:tr>
      <w:bookmarkEnd w:id="7"/>
      <w:bookmarkEnd w:id="16"/>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390"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03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eastAsia" w:ascii="宋体" w:hAnsi="宋体" w:eastAsia="宋体" w:cs="宋体"/>
                <w:kern w:val="0"/>
                <w:sz w:val="21"/>
                <w:szCs w:val="21"/>
              </w:rPr>
            </w:pPr>
            <w:bookmarkStart w:id="17" w:name="OLE_LINK26" w:colFirst="2" w:colLast="2"/>
            <w:bookmarkStart w:id="18" w:name="OLE_LINK3" w:colFirst="1" w:colLast="2"/>
            <w:bookmarkStart w:id="19" w:name="OLE_LINK4" w:colFirst="1" w:colLast="2"/>
            <w:r>
              <w:rPr>
                <w:rFonts w:hint="eastAsia" w:ascii="宋体" w:hAnsi="宋体" w:cs="宋体"/>
                <w:kern w:val="0"/>
                <w:sz w:val="21"/>
                <w:szCs w:val="21"/>
                <w:lang w:val="en-US" w:eastAsia="zh-CN"/>
              </w:rPr>
              <w:t>4</w:t>
            </w:r>
            <w:r>
              <w:rPr>
                <w:rFonts w:hint="eastAsia" w:ascii="宋体" w:hAnsi="宋体" w:eastAsia="宋体" w:cs="宋体"/>
                <w:kern w:val="0"/>
                <w:sz w:val="21"/>
                <w:szCs w:val="21"/>
              </w:rPr>
              <w:t>.1</w:t>
            </w:r>
          </w:p>
        </w:tc>
        <w:tc>
          <w:tcPr>
            <w:tcW w:w="7390" w:type="dxa"/>
            <w:shd w:val="clear" w:color="auto" w:fill="auto"/>
            <w:noWrap/>
            <w:vAlign w:val="top"/>
          </w:tcPr>
          <w:p w14:paraId="7CCBE58C">
            <w:pPr>
              <w:spacing w:line="440" w:lineRule="exact"/>
              <w:jc w:val="left"/>
              <w:rPr>
                <w:rFonts w:hint="default" w:ascii="宋体" w:hAnsi="宋体" w:eastAsia="宋体" w:cs="宋体"/>
                <w:b w:val="0"/>
                <w:bCs/>
                <w:kern w:val="2"/>
                <w:sz w:val="21"/>
                <w:szCs w:val="21"/>
                <w:highlight w:val="none"/>
                <w:lang w:val="en-US" w:eastAsia="zh-CN"/>
              </w:rPr>
            </w:pPr>
            <w:r>
              <w:rPr>
                <w:rFonts w:hint="eastAsia" w:ascii="宋体" w:hAnsi="宋体" w:eastAsia="宋体" w:cs="宋体"/>
                <w:i w:val="0"/>
                <w:iCs w:val="0"/>
                <w:caps w:val="0"/>
                <w:color w:val="333333"/>
                <w:spacing w:val="0"/>
                <w:sz w:val="21"/>
                <w:szCs w:val="21"/>
                <w:shd w:val="clear" w:fill="FFFFFF"/>
              </w:rPr>
              <w:t>自动发光测定仪</w:t>
            </w:r>
          </w:p>
        </w:tc>
        <w:tc>
          <w:tcPr>
            <w:tcW w:w="1035"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1台</w:t>
            </w:r>
          </w:p>
        </w:tc>
      </w:tr>
      <w:bookmarkEnd w:id="17"/>
      <w:bookmarkEnd w:id="18"/>
      <w:bookmarkEnd w:id="19"/>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noWrap/>
            <w:vAlign w:val="center"/>
          </w:tcPr>
          <w:p w14:paraId="2967BF14">
            <w:pPr>
              <w:pStyle w:val="14"/>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03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0"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0"/>
            <w:r>
              <w:rPr>
                <w:rFonts w:hint="eastAsia" w:ascii="宋体" w:hAnsi="宋体" w:eastAsia="宋体" w:cs="宋体"/>
                <w:b/>
                <w:bCs/>
                <w:sz w:val="21"/>
                <w:szCs w:val="21"/>
                <w:lang w:val="en-US" w:eastAsia="zh-CN"/>
              </w:rPr>
              <w:t>及培训试题。</w:t>
            </w:r>
          </w:p>
        </w:tc>
        <w:tc>
          <w:tcPr>
            <w:tcW w:w="103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03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eastAsia" w:ascii="宋体" w:hAnsi="宋体" w:eastAsia="宋体" w:cs="宋体"/>
                <w:kern w:val="0"/>
                <w:sz w:val="21"/>
                <w:szCs w:val="21"/>
              </w:rPr>
            </w:pPr>
            <w:bookmarkStart w:id="21" w:name="OLE_LINK5" w:colFirst="1" w:colLast="1"/>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03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noWrap/>
            <w:vAlign w:val="center"/>
          </w:tcPr>
          <w:p w14:paraId="067D990A">
            <w:pPr>
              <w:widowControl/>
              <w:textAlignment w:val="top"/>
              <w:rPr>
                <w:rFonts w:hint="default" w:ascii="宋体" w:hAnsi="宋体" w:eastAsia="宋体" w:cs="宋体"/>
                <w:b w:val="0"/>
                <w:bCs w:val="0"/>
                <w:sz w:val="21"/>
                <w:szCs w:val="21"/>
                <w:lang w:val="en-US" w:eastAsia="zh-CN"/>
              </w:rPr>
            </w:pPr>
            <w:r>
              <w:rPr>
                <w:rFonts w:hint="eastAsia" w:ascii="宋体" w:hAnsi="宋体" w:eastAsia="宋体" w:cs="宋体"/>
                <w:i w:val="0"/>
                <w:iCs w:val="0"/>
                <w:caps w:val="0"/>
                <w:color w:val="333333"/>
                <w:spacing w:val="0"/>
                <w:sz w:val="21"/>
                <w:szCs w:val="21"/>
                <w:shd w:val="clear" w:fill="FFFFFF"/>
              </w:rPr>
              <w:t>自动发光测定仪</w:t>
            </w:r>
            <w:r>
              <w:rPr>
                <w:rFonts w:hint="eastAsia" w:ascii="宋体" w:hAnsi="宋体" w:eastAsia="宋体" w:cs="宋体"/>
                <w:b w:val="0"/>
                <w:bCs w:val="0"/>
                <w:sz w:val="21"/>
                <w:szCs w:val="21"/>
              </w:rPr>
              <w:t>使用寿命</w:t>
            </w:r>
            <w:bookmarkStart w:id="22" w:name="OLE_LINK28"/>
            <w:r>
              <w:rPr>
                <w:rFonts w:hint="eastAsia" w:ascii="宋体" w:hAnsi="宋体" w:eastAsia="宋体" w:cs="宋体"/>
                <w:b w:val="0"/>
                <w:bCs w:val="0"/>
                <w:sz w:val="21"/>
                <w:szCs w:val="21"/>
              </w:rPr>
              <w:t>≥</w:t>
            </w:r>
            <w:bookmarkEnd w:id="22"/>
            <w:r>
              <w:rPr>
                <w:rFonts w:hint="eastAsia" w:ascii="宋体" w:hAnsi="宋体" w:eastAsia="宋体" w:cs="宋体"/>
                <w:b w:val="0"/>
                <w:bCs w:val="0"/>
                <w:sz w:val="21"/>
                <w:szCs w:val="21"/>
              </w:rPr>
              <w:t>5年</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且应在使用期限内，生产日期为2023年之后。</w:t>
            </w:r>
          </w:p>
        </w:tc>
        <w:tc>
          <w:tcPr>
            <w:tcW w:w="1035" w:type="dxa"/>
            <w:noWrap/>
            <w:vAlign w:val="center"/>
          </w:tcPr>
          <w:p w14:paraId="0A22E8ED">
            <w:pPr>
              <w:rPr>
                <w:rFonts w:hint="eastAsia" w:ascii="宋体" w:hAnsi="宋体" w:cs="宋体"/>
                <w:szCs w:val="21"/>
              </w:rPr>
            </w:pPr>
          </w:p>
        </w:tc>
      </w:tr>
      <w:bookmarkEnd w:id="21"/>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6AD3">
            <w:pPr>
              <w:widowControl/>
              <w:jc w:val="center"/>
              <w:textAlignment w:val="top"/>
              <w:rPr>
                <w:rFonts w:hint="default" w:ascii="Times New Roman" w:hAnsi="Times New Roman" w:eastAsia="宋体" w:cstheme="minorBidi"/>
                <w:kern w:val="2"/>
                <w:sz w:val="21"/>
                <w:lang w:val="en-US" w:eastAsia="zh-CN"/>
              </w:rPr>
            </w:pPr>
            <w:bookmarkStart w:id="23" w:name="OLE_LINK9"/>
            <w:r>
              <w:rPr>
                <w:rFonts w:hint="eastAsia"/>
              </w:rPr>
              <w:t>▲</w:t>
            </w:r>
            <w:bookmarkEnd w:id="23"/>
            <w:r>
              <w:rPr>
                <w:rFonts w:hint="eastAsia"/>
                <w:lang w:val="en-US" w:eastAsia="zh-CN"/>
              </w:rPr>
              <w:t>5.6</w:t>
            </w:r>
          </w:p>
        </w:tc>
        <w:tc>
          <w:tcPr>
            <w:tcW w:w="7390" w:type="dxa"/>
            <w:shd w:val="clear" w:color="auto" w:fill="auto"/>
            <w:noWrap/>
            <w:vAlign w:val="center"/>
          </w:tcPr>
          <w:p w14:paraId="61E204F9">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035" w:type="dxa"/>
            <w:noWrap/>
            <w:vAlign w:val="center"/>
          </w:tcPr>
          <w:p w14:paraId="3B33CF57">
            <w:pPr>
              <w:rPr>
                <w:rFonts w:hint="eastAsia" w:ascii="宋体" w:hAnsi="宋体" w:cs="宋体"/>
                <w:szCs w:val="21"/>
              </w:rPr>
            </w:pPr>
          </w:p>
        </w:tc>
      </w:tr>
      <w:tr w14:paraId="57437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9A80985">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5.7</w:t>
            </w:r>
          </w:p>
        </w:tc>
        <w:tc>
          <w:tcPr>
            <w:tcW w:w="7390" w:type="dxa"/>
            <w:shd w:val="clear" w:color="auto" w:fill="auto"/>
            <w:noWrap/>
            <w:vAlign w:val="center"/>
          </w:tcPr>
          <w:p w14:paraId="20B7A64C">
            <w:pPr>
              <w:rPr>
                <w:rFonts w:hint="eastAsia" w:ascii="Times New Roman" w:hAnsi="Times New Roman" w:eastAsia="宋体" w:cstheme="minorBidi"/>
                <w:kern w:val="2"/>
                <w:sz w:val="21"/>
                <w:lang w:val="en-US" w:eastAsia="zh-CN"/>
              </w:rPr>
            </w:pPr>
            <w:r>
              <w:rPr>
                <w:rFonts w:hint="eastAsia"/>
              </w:rPr>
              <w:t>投标报价为一台</w:t>
            </w:r>
            <w:r>
              <w:rPr>
                <w:rFonts w:hint="eastAsia" w:ascii="宋体" w:hAnsi="宋体" w:eastAsia="宋体" w:cs="宋体"/>
                <w:i w:val="0"/>
                <w:iCs w:val="0"/>
                <w:caps w:val="0"/>
                <w:color w:val="333333"/>
                <w:spacing w:val="0"/>
                <w:sz w:val="21"/>
                <w:szCs w:val="21"/>
                <w:shd w:val="clear" w:fill="FFFFFF"/>
              </w:rPr>
              <w:t>自动发光测定仪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035" w:type="dxa"/>
            <w:noWrap/>
            <w:vAlign w:val="center"/>
          </w:tcPr>
          <w:p w14:paraId="5A7C0DAC">
            <w:pPr>
              <w:rPr>
                <w:rFonts w:hint="eastAsia" w:ascii="宋体" w:hAnsi="宋体" w:cs="宋体"/>
                <w:szCs w:val="21"/>
              </w:rPr>
            </w:pPr>
          </w:p>
        </w:tc>
      </w:tr>
      <w:tr w14:paraId="37F416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0811A84">
            <w:pPr>
              <w:widowControl/>
              <w:jc w:val="center"/>
              <w:textAlignment w:val="top"/>
              <w:rPr>
                <w:rFonts w:hint="default" w:ascii="Times New Roman" w:hAnsi="Times New Roman" w:eastAsia="宋体" w:cstheme="minorBidi"/>
                <w:kern w:val="2"/>
                <w:sz w:val="21"/>
                <w:lang w:val="en-US" w:eastAsia="zh-CN"/>
              </w:rPr>
            </w:pPr>
            <w:bookmarkStart w:id="24" w:name="OLE_LINK25"/>
            <w:r>
              <w:rPr>
                <w:rFonts w:hint="eastAsia" w:ascii="宋体" w:hAnsi="宋体"/>
                <w:szCs w:val="21"/>
              </w:rPr>
              <w:t>△</w:t>
            </w:r>
            <w:bookmarkEnd w:id="24"/>
            <w:r>
              <w:rPr>
                <w:rFonts w:hint="eastAsia" w:ascii="宋体" w:hAnsi="宋体"/>
                <w:szCs w:val="21"/>
                <w:lang w:val="en-US" w:eastAsia="zh-CN"/>
              </w:rPr>
              <w:t>5.8</w:t>
            </w:r>
          </w:p>
        </w:tc>
        <w:tc>
          <w:tcPr>
            <w:tcW w:w="7390" w:type="dxa"/>
            <w:shd w:val="clear" w:color="auto" w:fill="auto"/>
            <w:noWrap/>
            <w:vAlign w:val="center"/>
          </w:tcPr>
          <w:p w14:paraId="20F1D65C">
            <w:pPr>
              <w:rPr>
                <w:rFonts w:hint="eastAsia" w:ascii="Times New Roman" w:hAnsi="Times New Roman" w:eastAsia="宋体" w:cstheme="minorBidi"/>
                <w:kern w:val="2"/>
                <w:sz w:val="21"/>
                <w:lang w:val="en-US" w:eastAsia="zh-CN"/>
              </w:rPr>
            </w:pPr>
            <w:r>
              <w:rPr>
                <w:rFonts w:hint="eastAsia"/>
              </w:rPr>
              <w:t>提供</w:t>
            </w:r>
            <w:r>
              <w:rPr>
                <w:rFonts w:hint="eastAsia" w:ascii="宋体" w:hAnsi="宋体" w:eastAsia="宋体" w:cs="宋体"/>
                <w:i w:val="0"/>
                <w:iCs w:val="0"/>
                <w:caps w:val="0"/>
                <w:color w:val="333333"/>
                <w:spacing w:val="0"/>
                <w:sz w:val="21"/>
                <w:szCs w:val="21"/>
                <w:shd w:val="clear" w:fill="FFFFFF"/>
              </w:rPr>
              <w:t>自动发光测定仪</w:t>
            </w:r>
            <w:r>
              <w:rPr>
                <w:rFonts w:hint="eastAsia"/>
              </w:rPr>
              <w:t>和检测试剂的完整的医疗器械注册证及附件（产品技术要求）和使用说明书（资料内容清晰可见，不得删减涂抹）；</w:t>
            </w:r>
          </w:p>
        </w:tc>
        <w:tc>
          <w:tcPr>
            <w:tcW w:w="1035" w:type="dxa"/>
            <w:noWrap/>
            <w:vAlign w:val="center"/>
          </w:tcPr>
          <w:p w14:paraId="66CAF6E2">
            <w:pP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5.9</w:t>
            </w:r>
          </w:p>
        </w:tc>
        <w:tc>
          <w:tcPr>
            <w:tcW w:w="7390" w:type="dxa"/>
            <w:shd w:val="clear" w:color="auto" w:fill="auto"/>
            <w:noWrap/>
            <w:vAlign w:val="center"/>
          </w:tcPr>
          <w:p w14:paraId="30C07A56">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035" w:type="dxa"/>
            <w:noWrap/>
            <w:vAlign w:val="center"/>
          </w:tcPr>
          <w:p w14:paraId="691E3117">
            <w:pPr>
              <w:rPr>
                <w:rFonts w:hint="eastAsia" w:ascii="宋体" w:hAnsi="宋体" w:cs="宋体"/>
                <w:szCs w:val="21"/>
              </w:rPr>
            </w:pPr>
          </w:p>
        </w:tc>
      </w:tr>
    </w:tbl>
    <w:p w14:paraId="2C006E92">
      <w:pPr>
        <w:rPr>
          <w:rFonts w:hint="eastAsia" w:ascii="宋体" w:hAnsi="宋体" w:cs="宋体"/>
          <w:szCs w:val="21"/>
        </w:rPr>
      </w:pPr>
    </w:p>
    <w:p w14:paraId="2A544CA5">
      <w:pPr>
        <w:spacing w:line="360" w:lineRule="auto"/>
        <w:jc w:val="left"/>
        <w:rPr>
          <w:rFonts w:hint="eastAsia" w:ascii="宋体" w:hAnsi="宋体" w:cs="宋体"/>
          <w:szCs w:val="21"/>
        </w:rPr>
      </w:pPr>
      <w:bookmarkStart w:id="25"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25"/>
    <w:tbl>
      <w:tblPr>
        <w:tblStyle w:val="5"/>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ascii="宋体" w:hAnsi="宋体" w:cs="宋体"/>
                <w:szCs w:val="21"/>
              </w:rPr>
            </w:pPr>
            <w:r>
              <w:rPr>
                <w:rFonts w:hint="eastAsia"/>
                <w:b/>
                <w:bCs/>
                <w:szCs w:val="21"/>
              </w:rPr>
              <w:t>1</w:t>
            </w:r>
          </w:p>
        </w:tc>
        <w:tc>
          <w:tcPr>
            <w:tcW w:w="3033" w:type="dxa"/>
            <w:noWrap w:val="0"/>
            <w:vAlign w:val="center"/>
          </w:tcPr>
          <w:p w14:paraId="318C0FA3">
            <w:pPr>
              <w:rPr>
                <w:b/>
                <w:bCs/>
                <w:szCs w:val="21"/>
              </w:rPr>
            </w:pPr>
            <w:r>
              <w:rPr>
                <w:rFonts w:hint="eastAsia" w:ascii="宋体" w:hAnsi="宋体" w:eastAsia="宋体" w:cs="宋体"/>
                <w:color w:val="000000" w:themeColor="text1"/>
                <w:kern w:val="0"/>
                <w:sz w:val="21"/>
                <w:szCs w:val="21"/>
                <w:lang w:val="en-US" w:eastAsia="zh-CN" w:bidi="ar"/>
              </w:rPr>
              <w:t>梅毒螺旋抗体</w:t>
            </w:r>
            <w:r>
              <w:rPr>
                <w:rFonts w:hint="eastAsia" w:ascii="宋体" w:hAnsi="宋体" w:cs="宋体"/>
                <w:color w:val="000000" w:themeColor="text1"/>
                <w:kern w:val="0"/>
                <w:sz w:val="21"/>
                <w:szCs w:val="21"/>
                <w:lang w:val="en-US" w:eastAsia="zh-CN" w:bidi="ar"/>
              </w:rPr>
              <w:t>、</w:t>
            </w:r>
            <w:r>
              <w:rPr>
                <w:rFonts w:hint="eastAsia" w:ascii="宋体" w:hAnsi="宋体" w:eastAsia="宋体" w:cs="宋体"/>
                <w:color w:val="000000" w:themeColor="text1"/>
                <w:kern w:val="0"/>
                <w:sz w:val="21"/>
                <w:szCs w:val="21"/>
                <w:lang w:val="en-US" w:eastAsia="zh-CN" w:bidi="ar"/>
              </w:rPr>
              <w:t>人类免疫缺陷病毒</w:t>
            </w:r>
            <w:r>
              <w:rPr>
                <w:rFonts w:hint="eastAsia" w:ascii="宋体" w:hAnsi="宋体" w:cs="宋体"/>
                <w:color w:val="000000" w:themeColor="text1"/>
                <w:kern w:val="0"/>
                <w:sz w:val="21"/>
                <w:szCs w:val="21"/>
                <w:lang w:val="en-US" w:eastAsia="zh-CN" w:bidi="ar"/>
              </w:rPr>
              <w:t>、</w:t>
            </w:r>
            <w:r>
              <w:rPr>
                <w:rFonts w:hint="eastAsia" w:ascii="宋体" w:hAnsi="宋体" w:eastAsia="宋体" w:cs="宋体"/>
                <w:color w:val="000000" w:themeColor="text1"/>
                <w:kern w:val="0"/>
                <w:sz w:val="21"/>
                <w:szCs w:val="21"/>
                <w:lang w:val="en-US" w:eastAsia="zh-CN" w:bidi="ar"/>
              </w:rPr>
              <w:t xml:space="preserve">丙型肝炎 </w:t>
            </w:r>
            <w:r>
              <w:rPr>
                <w:rFonts w:hint="eastAsia" w:ascii="宋体" w:hAnsi="宋体" w:cs="宋体"/>
                <w:color w:val="000000" w:themeColor="text1"/>
                <w:kern w:val="0"/>
                <w:sz w:val="21"/>
                <w:szCs w:val="21"/>
                <w:lang w:val="en-US" w:eastAsia="zh-CN" w:bidi="ar"/>
              </w:rPr>
              <w:t>、</w:t>
            </w:r>
            <w:r>
              <w:rPr>
                <w:rFonts w:hint="eastAsia" w:ascii="宋体" w:hAnsi="宋体" w:eastAsia="宋体" w:cs="宋体"/>
                <w:color w:val="000000" w:themeColor="text1"/>
                <w:kern w:val="0"/>
                <w:sz w:val="21"/>
                <w:szCs w:val="21"/>
                <w:lang w:val="en-US" w:eastAsia="zh-CN" w:bidi="ar"/>
              </w:rPr>
              <w:t>乙型表面抗体定量</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6000</w:t>
            </w:r>
          </w:p>
        </w:tc>
      </w:tr>
      <w:tr w14:paraId="7858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0C7C8D3C">
            <w:pPr>
              <w:ind w:firstLine="422" w:firstLineChars="200"/>
              <w:rPr>
                <w:rFonts w:hint="eastAsia" w:eastAsia="宋体"/>
                <w:b/>
                <w:bCs/>
                <w:szCs w:val="21"/>
                <w:lang w:val="en-US" w:eastAsia="zh-CN"/>
              </w:rPr>
            </w:pPr>
            <w:r>
              <w:rPr>
                <w:rFonts w:hint="eastAsia"/>
                <w:b/>
                <w:bCs/>
                <w:szCs w:val="21"/>
                <w:lang w:val="en-US" w:eastAsia="zh-CN"/>
              </w:rPr>
              <w:t>2</w:t>
            </w:r>
          </w:p>
        </w:tc>
        <w:tc>
          <w:tcPr>
            <w:tcW w:w="3033" w:type="dxa"/>
            <w:noWrap w:val="0"/>
            <w:vAlign w:val="center"/>
          </w:tcPr>
          <w:p w14:paraId="0B61B343">
            <w:pPr>
              <w:rPr>
                <w:rFonts w:hint="eastAsia" w:ascii="宋体" w:hAnsi="宋体" w:eastAsia="宋体" w:cs="宋体"/>
                <w:b/>
                <w:bCs/>
                <w:kern w:val="0"/>
                <w:sz w:val="21"/>
                <w:szCs w:val="21"/>
                <w:highlight w:val="none"/>
              </w:rPr>
            </w:pPr>
          </w:p>
        </w:tc>
        <w:tc>
          <w:tcPr>
            <w:tcW w:w="4303" w:type="dxa"/>
            <w:noWrap w:val="0"/>
            <w:vAlign w:val="center"/>
          </w:tcPr>
          <w:p w14:paraId="55677096">
            <w:pPr>
              <w:rPr>
                <w:rFonts w:hint="eastAsia"/>
                <w:b/>
                <w:bCs/>
                <w:szCs w:val="21"/>
                <w:lang w:val="en-US" w:eastAsia="zh-CN"/>
              </w:rPr>
            </w:pP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26"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w:t>
      </w:r>
      <w:r>
        <w:rPr>
          <w:rFonts w:hint="eastAsia" w:ascii="宋体" w:hAnsi="宋体"/>
          <w:b w:val="0"/>
          <w:bCs/>
          <w:color w:val="auto"/>
          <w:sz w:val="21"/>
          <w:szCs w:val="21"/>
          <w:lang w:val="en-US" w:eastAsia="zh-CN"/>
        </w:rPr>
        <w:t>用</w:t>
      </w:r>
      <w:r>
        <w:rPr>
          <w:rFonts w:ascii="宋体" w:hAnsi="宋体"/>
          <w:b w:val="0"/>
          <w:bCs/>
          <w:color w:val="auto"/>
          <w:sz w:val="21"/>
          <w:szCs w:val="21"/>
        </w:rPr>
        <w:t>最高限价</w:t>
      </w:r>
      <w:bookmarkStart w:id="27" w:name="OLE_LINK23"/>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bookmarkEnd w:id="27"/>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w:t>
      </w:r>
      <w:r>
        <w:rPr>
          <w:rFonts w:hint="eastAsia" w:ascii="宋体" w:hAnsi="宋体"/>
          <w:bCs/>
          <w:szCs w:val="21"/>
          <w:lang w:val="en-US" w:eastAsia="zh-CN"/>
        </w:rPr>
        <w:t>等</w:t>
      </w:r>
      <w:r>
        <w:rPr>
          <w:rFonts w:hint="eastAsia" w:ascii="宋体" w:hAnsi="宋体"/>
          <w:bCs/>
          <w:szCs w:val="21"/>
        </w:rPr>
        <w:t>）以及完成测试所需的所有耗材。上述所有试剂、耗材和服务费折算成测试项目的单价。供应商提供给医院所有试剂必须为原厂包装完整、未使用过的试剂。该报价中含试剂配送等相关伴随的服务费。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11A2359E">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p w14:paraId="1E2C996F">
      <w:pPr>
        <w:spacing w:line="360" w:lineRule="auto"/>
        <w:rPr>
          <w:rFonts w:hint="eastAsia" w:ascii="宋体" w:hAnsi="宋体" w:eastAsia="宋体" w:cs="宋体"/>
          <w:b w:val="0"/>
          <w:color w:val="auto"/>
          <w:sz w:val="21"/>
          <w:szCs w:val="21"/>
        </w:rPr>
      </w:pPr>
      <w:r>
        <w:rPr>
          <w:rFonts w:hint="eastAsia" w:ascii="宋体" w:hAnsi="宋体" w:eastAsia="宋体" w:cs="宋体"/>
          <w:b/>
          <w:sz w:val="21"/>
          <w:szCs w:val="21"/>
        </w:rPr>
        <w:t xml:space="preserve">5.2 </w:t>
      </w:r>
      <w:r>
        <w:rPr>
          <w:rFonts w:hint="eastAsia" w:ascii="宋体" w:hAnsi="宋体" w:eastAsia="宋体" w:cs="宋体"/>
          <w:sz w:val="21"/>
          <w:szCs w:val="21"/>
        </w:rPr>
        <w:t>耗材费用按月结算。</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w:t>
      </w:r>
      <w:r>
        <w:rPr>
          <w:rFonts w:hint="eastAsia" w:hAnsi="宋体"/>
          <w:bCs/>
          <w:szCs w:val="21"/>
          <w:lang w:eastAsia="zh-CN"/>
        </w:rPr>
        <w:t>（</w:t>
      </w:r>
      <w:r>
        <w:rPr>
          <w:rFonts w:hint="eastAsia" w:hAnsi="宋体"/>
          <w:bCs/>
          <w:szCs w:val="21"/>
          <w:lang w:val="en-US" w:eastAsia="zh-CN"/>
        </w:rPr>
        <w:t>如有）</w:t>
      </w:r>
      <w:r>
        <w:rPr>
          <w:rFonts w:hint="eastAsia" w:hAnsi="宋体"/>
          <w:bCs/>
          <w:szCs w:val="21"/>
        </w:rPr>
        <w:t>：医院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28"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28"/>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w:t>
      </w:r>
      <w:bookmarkStart w:id="29" w:name="_GoBack"/>
      <w:bookmarkEnd w:id="29"/>
      <w:r>
        <w:rPr>
          <w:rFonts w:hint="eastAsia" w:hAnsi="宋体"/>
          <w:szCs w:val="21"/>
        </w:rPr>
        <w:t>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6904A3D5">
      <w:pPr>
        <w:spacing w:line="360" w:lineRule="auto"/>
        <w:rPr>
          <w:rFonts w:hint="eastAsia" w:hAnsi="宋体"/>
          <w:color w:val="FF0000"/>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w:t>
      </w:r>
      <w:r>
        <w:rPr>
          <w:rFonts w:hint="eastAsia" w:hAnsi="宋体"/>
          <w:color w:val="auto"/>
          <w:szCs w:val="21"/>
        </w:rPr>
        <w:t>如果浙江省对上述试剂（或耗材）进行集中招标采购，则按集中招标采购目录执行；如果甲方发现高于浙江省阳光采购平均价的项目，乙方要调整到平均价及以下，如果乙方拒绝调整价格，甲方有权终止部分或全部合同。</w:t>
      </w:r>
    </w:p>
    <w:p w14:paraId="6EE88217">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6A4DDBE7">
      <w:pPr>
        <w:rPr>
          <w:szCs w:val="21"/>
        </w:rPr>
      </w:pPr>
      <w:r>
        <w:rPr>
          <w:rFonts w:hint="eastAsia"/>
          <w:szCs w:val="21"/>
        </w:rPr>
        <w:t>附表：</w:t>
      </w:r>
      <w:r>
        <w:rPr>
          <w:rFonts w:hint="eastAsia" w:ascii="宋体" w:hAnsi="宋体"/>
          <w:bCs/>
          <w:szCs w:val="21"/>
          <w:lang w:val="en-US" w:eastAsia="zh-CN"/>
        </w:rPr>
        <w:t>检测试剂及耗材</w:t>
      </w:r>
      <w:r>
        <w:rPr>
          <w:rFonts w:hint="eastAsia" w:ascii="宋体" w:hAnsi="宋体"/>
          <w:bCs/>
          <w:szCs w:val="21"/>
        </w:rPr>
        <w:t>报价表</w:t>
      </w:r>
    </w:p>
    <w:tbl>
      <w:tblPr>
        <w:tblStyle w:val="5"/>
        <w:tblW w:w="905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591"/>
        <w:gridCol w:w="1064"/>
        <w:gridCol w:w="1282"/>
        <w:gridCol w:w="1050"/>
        <w:gridCol w:w="1200"/>
      </w:tblGrid>
      <w:tr w14:paraId="7B9F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试剂品名</w:t>
            </w:r>
          </w:p>
        </w:tc>
        <w:tc>
          <w:tcPr>
            <w:tcW w:w="1701" w:type="dxa"/>
            <w:noWrap w:val="0"/>
            <w:vAlign w:val="center"/>
          </w:tcPr>
          <w:p w14:paraId="4D1FD85C">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规格型号</w:t>
            </w:r>
          </w:p>
        </w:tc>
        <w:tc>
          <w:tcPr>
            <w:tcW w:w="591" w:type="dxa"/>
            <w:noWrap w:val="0"/>
            <w:vAlign w:val="center"/>
          </w:tcPr>
          <w:p w14:paraId="6F35CFFB">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单位</w:t>
            </w:r>
          </w:p>
        </w:tc>
        <w:tc>
          <w:tcPr>
            <w:tcW w:w="1064" w:type="dxa"/>
            <w:noWrap w:val="0"/>
            <w:vAlign w:val="center"/>
          </w:tcPr>
          <w:p w14:paraId="4E618410">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生产厂家</w:t>
            </w:r>
          </w:p>
        </w:tc>
        <w:tc>
          <w:tcPr>
            <w:tcW w:w="1282" w:type="dxa"/>
            <w:noWrap w:val="0"/>
            <w:vAlign w:val="center"/>
          </w:tcPr>
          <w:p w14:paraId="1D18B579">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省平台ID</w:t>
            </w:r>
          </w:p>
        </w:tc>
        <w:tc>
          <w:tcPr>
            <w:tcW w:w="1050" w:type="dxa"/>
            <w:noWrap w:val="0"/>
            <w:vAlign w:val="center"/>
          </w:tcPr>
          <w:p w14:paraId="3A2D60E9">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单价</w:t>
            </w:r>
          </w:p>
        </w:tc>
        <w:tc>
          <w:tcPr>
            <w:tcW w:w="1200" w:type="dxa"/>
            <w:noWrap w:val="0"/>
            <w:vAlign w:val="center"/>
          </w:tcPr>
          <w:p w14:paraId="75ECD4C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单价/人份</w:t>
            </w:r>
          </w:p>
        </w:tc>
      </w:tr>
      <w:tr w14:paraId="39A7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jc w:val="left"/>
              <w:rPr>
                <w:sz w:val="22"/>
                <w:szCs w:val="22"/>
              </w:rPr>
            </w:pPr>
          </w:p>
        </w:tc>
        <w:tc>
          <w:tcPr>
            <w:tcW w:w="1701" w:type="dxa"/>
            <w:noWrap/>
            <w:vAlign w:val="center"/>
          </w:tcPr>
          <w:p w14:paraId="628C3DA4">
            <w:pPr>
              <w:rPr>
                <w:sz w:val="22"/>
                <w:szCs w:val="22"/>
              </w:rPr>
            </w:pPr>
          </w:p>
        </w:tc>
        <w:tc>
          <w:tcPr>
            <w:tcW w:w="591" w:type="dxa"/>
            <w:noWrap w:val="0"/>
            <w:vAlign w:val="center"/>
          </w:tcPr>
          <w:p w14:paraId="045363E2">
            <w:pPr>
              <w:rPr>
                <w:sz w:val="22"/>
                <w:szCs w:val="22"/>
              </w:rPr>
            </w:pPr>
          </w:p>
        </w:tc>
        <w:tc>
          <w:tcPr>
            <w:tcW w:w="1064" w:type="dxa"/>
            <w:noWrap/>
            <w:vAlign w:val="center"/>
          </w:tcPr>
          <w:p w14:paraId="714D526B">
            <w:pPr>
              <w:widowControl/>
              <w:rPr>
                <w:rFonts w:ascii="宋体" w:hAnsi="宋体" w:cs="宋体"/>
                <w:kern w:val="0"/>
                <w:szCs w:val="21"/>
              </w:rPr>
            </w:pPr>
          </w:p>
        </w:tc>
        <w:tc>
          <w:tcPr>
            <w:tcW w:w="1282" w:type="dxa"/>
            <w:noWrap w:val="0"/>
            <w:vAlign w:val="top"/>
          </w:tcPr>
          <w:p w14:paraId="2B1D4D3F">
            <w:pPr>
              <w:widowControl/>
              <w:rPr>
                <w:rFonts w:ascii="宋体" w:hAnsi="宋体" w:cs="宋体"/>
                <w:kern w:val="0"/>
                <w:szCs w:val="21"/>
              </w:rPr>
            </w:pPr>
          </w:p>
        </w:tc>
        <w:tc>
          <w:tcPr>
            <w:tcW w:w="1050" w:type="dxa"/>
            <w:noWrap/>
            <w:vAlign w:val="center"/>
          </w:tcPr>
          <w:p w14:paraId="01815ED0">
            <w:pPr>
              <w:widowControl/>
              <w:rPr>
                <w:rFonts w:ascii="宋体" w:hAnsi="宋体" w:cs="宋体"/>
                <w:kern w:val="0"/>
                <w:szCs w:val="21"/>
              </w:rPr>
            </w:pPr>
          </w:p>
        </w:tc>
        <w:tc>
          <w:tcPr>
            <w:tcW w:w="1200" w:type="dxa"/>
            <w:noWrap/>
            <w:vAlign w:val="center"/>
          </w:tcPr>
          <w:p w14:paraId="2AEB6737">
            <w:pPr>
              <w:widowControl/>
              <w:rPr>
                <w:rFonts w:ascii="宋体" w:hAnsi="宋体" w:cs="宋体"/>
                <w:kern w:val="0"/>
                <w:szCs w:val="21"/>
              </w:rPr>
            </w:pPr>
          </w:p>
        </w:tc>
      </w:tr>
      <w:tr w14:paraId="499D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51C0B543">
            <w:pPr>
              <w:rPr>
                <w:rFonts w:hint="eastAsia" w:eastAsia="宋体"/>
                <w:szCs w:val="21"/>
                <w:lang w:val="en-US" w:eastAsia="zh-CN"/>
              </w:rPr>
            </w:pPr>
            <w:r>
              <w:rPr>
                <w:rFonts w:hint="eastAsia"/>
                <w:szCs w:val="21"/>
                <w:lang w:val="en-US" w:eastAsia="zh-CN"/>
              </w:rPr>
              <w:t>2</w:t>
            </w:r>
          </w:p>
        </w:tc>
        <w:tc>
          <w:tcPr>
            <w:tcW w:w="1740" w:type="dxa"/>
            <w:noWrap w:val="0"/>
            <w:vAlign w:val="center"/>
          </w:tcPr>
          <w:p w14:paraId="7E061954">
            <w:pPr>
              <w:jc w:val="left"/>
              <w:rPr>
                <w:rFonts w:hint="eastAsia" w:ascii="宋体" w:hAnsi="宋体" w:eastAsia="宋体" w:cs="宋体"/>
                <w:color w:val="000000" w:themeColor="text1"/>
                <w:kern w:val="0"/>
                <w:sz w:val="21"/>
                <w:szCs w:val="21"/>
                <w:lang w:val="en-US" w:eastAsia="zh-CN" w:bidi="ar"/>
              </w:rPr>
            </w:pPr>
          </w:p>
        </w:tc>
        <w:tc>
          <w:tcPr>
            <w:tcW w:w="1701" w:type="dxa"/>
            <w:noWrap/>
            <w:vAlign w:val="center"/>
          </w:tcPr>
          <w:p w14:paraId="05FDB434">
            <w:pPr>
              <w:rPr>
                <w:rFonts w:hint="eastAsia"/>
                <w:sz w:val="22"/>
                <w:szCs w:val="22"/>
                <w:lang w:val="en-US" w:eastAsia="zh-CN"/>
              </w:rPr>
            </w:pPr>
          </w:p>
        </w:tc>
        <w:tc>
          <w:tcPr>
            <w:tcW w:w="591" w:type="dxa"/>
            <w:noWrap w:val="0"/>
            <w:vAlign w:val="center"/>
          </w:tcPr>
          <w:p w14:paraId="5EB993A9">
            <w:pPr>
              <w:rPr>
                <w:sz w:val="22"/>
                <w:szCs w:val="22"/>
              </w:rPr>
            </w:pPr>
          </w:p>
        </w:tc>
        <w:tc>
          <w:tcPr>
            <w:tcW w:w="1064" w:type="dxa"/>
            <w:noWrap/>
            <w:vAlign w:val="center"/>
          </w:tcPr>
          <w:p w14:paraId="5AAA41C2">
            <w:pPr>
              <w:widowControl/>
              <w:rPr>
                <w:rFonts w:ascii="宋体" w:hAnsi="宋体" w:cs="宋体"/>
                <w:kern w:val="0"/>
                <w:szCs w:val="21"/>
              </w:rPr>
            </w:pPr>
          </w:p>
        </w:tc>
        <w:tc>
          <w:tcPr>
            <w:tcW w:w="1282" w:type="dxa"/>
            <w:noWrap w:val="0"/>
            <w:vAlign w:val="top"/>
          </w:tcPr>
          <w:p w14:paraId="4623B46A">
            <w:pPr>
              <w:widowControl/>
              <w:rPr>
                <w:rFonts w:ascii="宋体" w:hAnsi="宋体" w:cs="宋体"/>
                <w:kern w:val="0"/>
                <w:szCs w:val="21"/>
              </w:rPr>
            </w:pPr>
          </w:p>
        </w:tc>
        <w:tc>
          <w:tcPr>
            <w:tcW w:w="1050" w:type="dxa"/>
            <w:noWrap/>
            <w:vAlign w:val="center"/>
          </w:tcPr>
          <w:p w14:paraId="3C75B763">
            <w:pPr>
              <w:widowControl/>
              <w:rPr>
                <w:rFonts w:ascii="宋体" w:hAnsi="宋体" w:cs="宋体"/>
                <w:kern w:val="0"/>
                <w:szCs w:val="21"/>
              </w:rPr>
            </w:pPr>
          </w:p>
        </w:tc>
        <w:tc>
          <w:tcPr>
            <w:tcW w:w="1200" w:type="dxa"/>
            <w:noWrap/>
            <w:vAlign w:val="center"/>
          </w:tcPr>
          <w:p w14:paraId="54F64021">
            <w:pPr>
              <w:widowControl/>
              <w:rPr>
                <w:rFonts w:ascii="宋体" w:hAnsi="宋体" w:cs="宋体"/>
                <w:kern w:val="0"/>
                <w:szCs w:val="21"/>
              </w:rPr>
            </w:pPr>
          </w:p>
        </w:tc>
      </w:tr>
    </w:tbl>
    <w:p w14:paraId="29C8A614">
      <w:pPr>
        <w:rPr>
          <w:rFonts w:hint="eastAsia"/>
        </w:rPr>
      </w:pPr>
    </w:p>
    <w:bookmarkEnd w:id="26"/>
    <w:p w14:paraId="71F9C329">
      <w:pPr>
        <w:snapToGrid/>
        <w:spacing w:before="0" w:beforeAutospacing="0" w:after="0" w:afterAutospacing="0" w:line="360" w:lineRule="auto"/>
        <w:ind w:left="0" w:leftChars="0" w:right="0"/>
        <w:jc w:val="both"/>
        <w:textAlignment w:val="baseline"/>
        <w:rPr>
          <w:rStyle w:val="9"/>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ZWYyNjQ0MjVlYzNjYzBlNGQ4MjIzMDQ5NzE0YjZkODkifQ=="/>
  </w:docVars>
  <w:rsids>
    <w:rsidRoot w:val="00000000"/>
    <w:rsid w:val="01C15603"/>
    <w:rsid w:val="02B819EA"/>
    <w:rsid w:val="031169F8"/>
    <w:rsid w:val="03CF3A69"/>
    <w:rsid w:val="04C71264"/>
    <w:rsid w:val="05CA66BD"/>
    <w:rsid w:val="05DA3800"/>
    <w:rsid w:val="06E2679F"/>
    <w:rsid w:val="0C0544CC"/>
    <w:rsid w:val="0C7A30DA"/>
    <w:rsid w:val="0CB83B6A"/>
    <w:rsid w:val="0CFC78E7"/>
    <w:rsid w:val="0D0077E0"/>
    <w:rsid w:val="0EE8197F"/>
    <w:rsid w:val="0FD77F2D"/>
    <w:rsid w:val="0FE5264B"/>
    <w:rsid w:val="10A818AD"/>
    <w:rsid w:val="116337BE"/>
    <w:rsid w:val="11A671B8"/>
    <w:rsid w:val="11BF708C"/>
    <w:rsid w:val="12D629E6"/>
    <w:rsid w:val="132E6AF1"/>
    <w:rsid w:val="148368D6"/>
    <w:rsid w:val="1585667E"/>
    <w:rsid w:val="15F829AC"/>
    <w:rsid w:val="1698286F"/>
    <w:rsid w:val="1732013F"/>
    <w:rsid w:val="186C1827"/>
    <w:rsid w:val="18C66D91"/>
    <w:rsid w:val="199724DC"/>
    <w:rsid w:val="1ADA442A"/>
    <w:rsid w:val="1B662AAD"/>
    <w:rsid w:val="1BA83EDB"/>
    <w:rsid w:val="1C91456E"/>
    <w:rsid w:val="1D8C6C1B"/>
    <w:rsid w:val="1DBA66B7"/>
    <w:rsid w:val="1E4470D6"/>
    <w:rsid w:val="2066703F"/>
    <w:rsid w:val="21607085"/>
    <w:rsid w:val="21BD19B0"/>
    <w:rsid w:val="22FC5C1C"/>
    <w:rsid w:val="234731C4"/>
    <w:rsid w:val="242179FE"/>
    <w:rsid w:val="249B154A"/>
    <w:rsid w:val="2524464D"/>
    <w:rsid w:val="26A843F4"/>
    <w:rsid w:val="29247EA6"/>
    <w:rsid w:val="29E76C78"/>
    <w:rsid w:val="2BE778B0"/>
    <w:rsid w:val="2CF0667B"/>
    <w:rsid w:val="2CFF066C"/>
    <w:rsid w:val="2EC622A9"/>
    <w:rsid w:val="2F370591"/>
    <w:rsid w:val="2FEE680C"/>
    <w:rsid w:val="30562C99"/>
    <w:rsid w:val="31140B8A"/>
    <w:rsid w:val="312A752B"/>
    <w:rsid w:val="31341D34"/>
    <w:rsid w:val="32487229"/>
    <w:rsid w:val="32713DBA"/>
    <w:rsid w:val="32913C86"/>
    <w:rsid w:val="33064502"/>
    <w:rsid w:val="339E75A4"/>
    <w:rsid w:val="33AC2910"/>
    <w:rsid w:val="33C70056"/>
    <w:rsid w:val="33D72BA4"/>
    <w:rsid w:val="35167B59"/>
    <w:rsid w:val="3592207D"/>
    <w:rsid w:val="36034F75"/>
    <w:rsid w:val="369D7345"/>
    <w:rsid w:val="379B110E"/>
    <w:rsid w:val="386D0B7F"/>
    <w:rsid w:val="390F3BE4"/>
    <w:rsid w:val="3A260632"/>
    <w:rsid w:val="3A2626DF"/>
    <w:rsid w:val="3A3F53F0"/>
    <w:rsid w:val="3A527E40"/>
    <w:rsid w:val="3BBC42F8"/>
    <w:rsid w:val="3BD553B9"/>
    <w:rsid w:val="3D427899"/>
    <w:rsid w:val="3E946E66"/>
    <w:rsid w:val="3F867F5B"/>
    <w:rsid w:val="3FEE1E29"/>
    <w:rsid w:val="40493C80"/>
    <w:rsid w:val="405000E6"/>
    <w:rsid w:val="40513CAD"/>
    <w:rsid w:val="413B181B"/>
    <w:rsid w:val="4147319F"/>
    <w:rsid w:val="417A182D"/>
    <w:rsid w:val="41D35AD5"/>
    <w:rsid w:val="42320205"/>
    <w:rsid w:val="425D13D7"/>
    <w:rsid w:val="42AE7ADF"/>
    <w:rsid w:val="42B02FE0"/>
    <w:rsid w:val="43CF0AAB"/>
    <w:rsid w:val="449B3A61"/>
    <w:rsid w:val="454F62E1"/>
    <w:rsid w:val="466B13AC"/>
    <w:rsid w:val="46BA7BA6"/>
    <w:rsid w:val="470C33D7"/>
    <w:rsid w:val="47443EC8"/>
    <w:rsid w:val="48BF5427"/>
    <w:rsid w:val="493A685C"/>
    <w:rsid w:val="49BC3715"/>
    <w:rsid w:val="4A196CF5"/>
    <w:rsid w:val="4A34713C"/>
    <w:rsid w:val="4DE438B0"/>
    <w:rsid w:val="4E061402"/>
    <w:rsid w:val="4E096258"/>
    <w:rsid w:val="4F7A4139"/>
    <w:rsid w:val="50287CF6"/>
    <w:rsid w:val="511552D2"/>
    <w:rsid w:val="519915B2"/>
    <w:rsid w:val="52585CAD"/>
    <w:rsid w:val="52B35FD7"/>
    <w:rsid w:val="52B576C1"/>
    <w:rsid w:val="52D41ACF"/>
    <w:rsid w:val="533416F3"/>
    <w:rsid w:val="536B36A1"/>
    <w:rsid w:val="547B74D8"/>
    <w:rsid w:val="55D76854"/>
    <w:rsid w:val="562D298E"/>
    <w:rsid w:val="56464A92"/>
    <w:rsid w:val="56F02C50"/>
    <w:rsid w:val="5784477E"/>
    <w:rsid w:val="582821FD"/>
    <w:rsid w:val="58A43CF2"/>
    <w:rsid w:val="593D12A4"/>
    <w:rsid w:val="59BD4931"/>
    <w:rsid w:val="5A2F6E53"/>
    <w:rsid w:val="5B235578"/>
    <w:rsid w:val="5B7114D5"/>
    <w:rsid w:val="5E2F21EE"/>
    <w:rsid w:val="606F0855"/>
    <w:rsid w:val="60F93D65"/>
    <w:rsid w:val="61506A15"/>
    <w:rsid w:val="62030B0F"/>
    <w:rsid w:val="62505B15"/>
    <w:rsid w:val="63B50C42"/>
    <w:rsid w:val="63FB0FB9"/>
    <w:rsid w:val="6497295D"/>
    <w:rsid w:val="65332685"/>
    <w:rsid w:val="65404DA2"/>
    <w:rsid w:val="662E514A"/>
    <w:rsid w:val="66571890"/>
    <w:rsid w:val="67B004E4"/>
    <w:rsid w:val="67B916E0"/>
    <w:rsid w:val="67F24A7A"/>
    <w:rsid w:val="68CC1AD0"/>
    <w:rsid w:val="6AC74457"/>
    <w:rsid w:val="6BCE7896"/>
    <w:rsid w:val="6CC26A1C"/>
    <w:rsid w:val="6CFF105E"/>
    <w:rsid w:val="6DC36570"/>
    <w:rsid w:val="6E3405AF"/>
    <w:rsid w:val="6F1D043C"/>
    <w:rsid w:val="6FB17B9E"/>
    <w:rsid w:val="71881FAB"/>
    <w:rsid w:val="72163067"/>
    <w:rsid w:val="72DB5204"/>
    <w:rsid w:val="77456248"/>
    <w:rsid w:val="778760F8"/>
    <w:rsid w:val="783C589D"/>
    <w:rsid w:val="786346A5"/>
    <w:rsid w:val="7A202B71"/>
    <w:rsid w:val="7AA167F5"/>
    <w:rsid w:val="7B60429D"/>
    <w:rsid w:val="7B8B2BED"/>
    <w:rsid w:val="7C86306F"/>
    <w:rsid w:val="7D7A5CE2"/>
    <w:rsid w:val="7E00023B"/>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NormalCharacter"/>
    <w:link w:val="1"/>
    <w:qFormat/>
    <w:uiPriority w:val="0"/>
  </w:style>
  <w:style w:type="table" w:customStyle="1" w:styleId="10">
    <w:name w:val="TableNormal"/>
    <w:qFormat/>
    <w:uiPriority w:val="0"/>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2">
    <w:name w:val="font21"/>
    <w:qFormat/>
    <w:uiPriority w:val="0"/>
    <w:rPr>
      <w:rFonts w:hint="eastAsia" w:ascii="仿宋_GB2312" w:eastAsia="仿宋_GB2312" w:cs="仿宋_GB2312"/>
      <w:color w:val="000000"/>
      <w:sz w:val="22"/>
      <w:szCs w:val="22"/>
      <w:u w:val="none"/>
    </w:rPr>
  </w:style>
  <w:style w:type="paragraph" w:styleId="13">
    <w:name w:val="List Paragraph"/>
    <w:basedOn w:val="1"/>
    <w:qFormat/>
    <w:uiPriority w:val="0"/>
    <w:pPr>
      <w:ind w:firstLine="420" w:firstLineChars="200"/>
    </w:pPr>
  </w:style>
  <w:style w:type="paragraph" w:customStyle="1" w:styleId="14">
    <w:name w:val="_Style 40"/>
    <w:basedOn w:val="1"/>
    <w:qFormat/>
    <w:uiPriority w:val="0"/>
    <w:rPr>
      <w:rFonts w:eastAsia="??"/>
      <w:szCs w:val="28"/>
    </w:rPr>
  </w:style>
  <w:style w:type="paragraph" w:customStyle="1" w:styleId="15">
    <w:name w:val="Table Text"/>
    <w:basedOn w:val="1"/>
    <w:semiHidden/>
    <w:qFormat/>
    <w:uiPriority w:val="0"/>
    <w:rPr>
      <w:rFonts w:ascii="宋体" w:hAnsi="宋体" w:eastAsia="宋体" w:cs="宋体"/>
      <w:sz w:val="19"/>
      <w:szCs w:val="19"/>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3950</Words>
  <Characters>4121</Characters>
  <TotalTime>6</TotalTime>
  <ScaleCrop>false</ScaleCrop>
  <LinksUpToDate>false</LinksUpToDate>
  <CharactersWithSpaces>4136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铅丝</cp:lastModifiedBy>
  <dcterms:modified xsi:type="dcterms:W3CDTF">2025-01-01T06:36:17Z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AFFCD92323C04DEF86F7C713DD554467_12</vt:lpwstr>
  </property>
  <property fmtid="{D5CDD505-2E9C-101B-9397-08002B2CF9AE}" pid="4" name="KSOTemplateDocerSaveRecord">
    <vt:lpwstr>eyJoZGlkIjoiYmYxMzE3MWNlYWJjODUzN2JjYzFlOWI5ZGU2ZjJlMzYiLCJ1c2VySWQiOiIzMDI0NDQ1MTIifQ==</vt:lpwstr>
  </property>
</Properties>
</file>