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4C703">
      <w:pPr>
        <w:spacing w:line="360" w:lineRule="auto"/>
        <w:ind w:firstLine="482" w:firstLineChars="200"/>
        <w:jc w:val="center"/>
        <w:rPr>
          <w:rFonts w:hint="eastAsia" w:ascii="宋体" w:hAnsi="宋体" w:eastAsia="宋体"/>
          <w:b/>
          <w:sz w:val="24"/>
          <w:szCs w:val="24"/>
          <w:lang w:val="en-US" w:eastAsia="zh-CN"/>
        </w:rPr>
      </w:pPr>
      <w:r>
        <w:rPr>
          <w:rFonts w:hint="eastAsia" w:ascii="宋体" w:hAnsi="宋体"/>
          <w:b/>
          <w:sz w:val="24"/>
          <w:szCs w:val="24"/>
        </w:rPr>
        <w:t>三级等保测评</w:t>
      </w:r>
      <w:r>
        <w:rPr>
          <w:rFonts w:hint="eastAsia" w:ascii="宋体" w:hAnsi="宋体"/>
          <w:b/>
          <w:sz w:val="24"/>
          <w:szCs w:val="24"/>
          <w:lang w:val="en-US" w:eastAsia="zh-CN"/>
        </w:rPr>
        <w:t>项目要求</w:t>
      </w:r>
      <w:bookmarkStart w:id="0" w:name="_GoBack"/>
      <w:bookmarkEnd w:id="0"/>
    </w:p>
    <w:p w14:paraId="3A339F1F">
      <w:pPr>
        <w:spacing w:line="360" w:lineRule="auto"/>
        <w:ind w:firstLine="422" w:firstLineChars="200"/>
        <w:rPr>
          <w:rFonts w:ascii="宋体" w:hAnsi="宋体"/>
          <w:b/>
          <w:szCs w:val="21"/>
        </w:rPr>
      </w:pPr>
    </w:p>
    <w:tbl>
      <w:tblPr>
        <w:tblStyle w:val="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275"/>
        <w:gridCol w:w="6006"/>
      </w:tblGrid>
      <w:tr w14:paraId="27A4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8" w:type="pct"/>
            <w:vAlign w:val="center"/>
          </w:tcPr>
          <w:p w14:paraId="696C4AB7">
            <w:pPr>
              <w:spacing w:line="276" w:lineRule="auto"/>
              <w:jc w:val="center"/>
              <w:rPr>
                <w:rFonts w:ascii="宋体" w:hAnsi="宋体"/>
                <w:b/>
                <w:szCs w:val="21"/>
              </w:rPr>
            </w:pPr>
            <w:r>
              <w:rPr>
                <w:rFonts w:ascii="宋体" w:hAnsi="宋体"/>
                <w:b/>
                <w:szCs w:val="21"/>
              </w:rPr>
              <w:t>指标项</w:t>
            </w:r>
          </w:p>
        </w:tc>
        <w:tc>
          <w:tcPr>
            <w:tcW w:w="748" w:type="pct"/>
            <w:vAlign w:val="center"/>
          </w:tcPr>
          <w:p w14:paraId="7A7B423E">
            <w:pPr>
              <w:spacing w:line="276" w:lineRule="auto"/>
              <w:rPr>
                <w:rFonts w:ascii="宋体" w:hAnsi="宋体"/>
                <w:b/>
                <w:szCs w:val="21"/>
              </w:rPr>
            </w:pPr>
            <w:r>
              <w:rPr>
                <w:rFonts w:ascii="宋体" w:hAnsi="宋体"/>
                <w:b/>
                <w:szCs w:val="21"/>
              </w:rPr>
              <w:t>指标项</w:t>
            </w:r>
          </w:p>
        </w:tc>
        <w:tc>
          <w:tcPr>
            <w:tcW w:w="3523" w:type="pct"/>
            <w:vAlign w:val="center"/>
          </w:tcPr>
          <w:p w14:paraId="65A936B6">
            <w:pPr>
              <w:spacing w:line="276" w:lineRule="auto"/>
              <w:rPr>
                <w:rFonts w:ascii="宋体" w:hAnsi="宋体"/>
                <w:b/>
                <w:szCs w:val="21"/>
              </w:rPr>
            </w:pPr>
            <w:r>
              <w:rPr>
                <w:rFonts w:ascii="宋体" w:hAnsi="宋体"/>
                <w:b/>
                <w:szCs w:val="21"/>
              </w:rPr>
              <w:t>技术规格要求</w:t>
            </w:r>
          </w:p>
        </w:tc>
      </w:tr>
      <w:tr w14:paraId="5745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8" w:type="pct"/>
            <w:vMerge w:val="restart"/>
            <w:vAlign w:val="center"/>
          </w:tcPr>
          <w:p w14:paraId="7ACF7B5B">
            <w:pPr>
              <w:spacing w:line="276" w:lineRule="auto"/>
              <w:jc w:val="center"/>
              <w:rPr>
                <w:rFonts w:ascii="宋体" w:hAnsi="宋体"/>
                <w:szCs w:val="21"/>
              </w:rPr>
            </w:pPr>
            <w:r>
              <w:rPr>
                <w:rFonts w:hint="eastAsia" w:ascii="宋体" w:hAnsi="宋体"/>
                <w:szCs w:val="21"/>
              </w:rPr>
              <w:t>等保测评服务</w:t>
            </w:r>
          </w:p>
        </w:tc>
        <w:tc>
          <w:tcPr>
            <w:tcW w:w="748" w:type="pct"/>
            <w:vAlign w:val="center"/>
          </w:tcPr>
          <w:p w14:paraId="04BC4D52">
            <w:pPr>
              <w:spacing w:line="276" w:lineRule="auto"/>
              <w:rPr>
                <w:rFonts w:ascii="宋体" w:hAnsi="宋体"/>
                <w:szCs w:val="21"/>
              </w:rPr>
            </w:pPr>
            <w:r>
              <w:rPr>
                <w:rFonts w:ascii="宋体" w:hAnsi="宋体"/>
                <w:szCs w:val="21"/>
              </w:rPr>
              <w:t>基本要求</w:t>
            </w:r>
          </w:p>
        </w:tc>
        <w:tc>
          <w:tcPr>
            <w:tcW w:w="3523" w:type="pct"/>
            <w:vAlign w:val="center"/>
          </w:tcPr>
          <w:p w14:paraId="46EEEE9F">
            <w:pPr>
              <w:spacing w:line="276" w:lineRule="auto"/>
              <w:rPr>
                <w:rFonts w:hint="default" w:ascii="宋体" w:hAnsi="宋体" w:eastAsia="宋体"/>
                <w:szCs w:val="21"/>
                <w:lang w:val="en-US" w:eastAsia="zh-CN"/>
              </w:rPr>
            </w:pPr>
            <w:r>
              <w:rPr>
                <w:rFonts w:ascii="宋体" w:hAnsi="宋体"/>
                <w:szCs w:val="21"/>
              </w:rPr>
              <w:t>对</w:t>
            </w:r>
            <w:r>
              <w:rPr>
                <w:rFonts w:hint="eastAsia" w:ascii="宋体" w:hAnsi="宋体"/>
                <w:szCs w:val="21"/>
                <w:lang w:val="en-US" w:eastAsia="zh-CN"/>
              </w:rPr>
              <w:t>瑞安市妇幼保健院</w:t>
            </w:r>
            <w:r>
              <w:rPr>
                <w:rFonts w:ascii="宋体" w:hAnsi="宋体"/>
                <w:szCs w:val="21"/>
              </w:rPr>
              <w:t>2.0标准</w:t>
            </w:r>
            <w:r>
              <w:rPr>
                <w:rFonts w:hint="eastAsia" w:ascii="宋体" w:hAnsi="宋体"/>
                <w:szCs w:val="21"/>
                <w:lang w:val="en-US" w:eastAsia="zh-CN"/>
              </w:rPr>
              <w:t>2</w:t>
            </w:r>
            <w:r>
              <w:rPr>
                <w:rFonts w:ascii="宋体" w:hAnsi="宋体"/>
                <w:szCs w:val="21"/>
              </w:rPr>
              <w:t>个</w:t>
            </w:r>
            <w:r>
              <w:rPr>
                <w:rFonts w:hint="eastAsia" w:ascii="宋体" w:hAnsi="宋体"/>
                <w:szCs w:val="21"/>
                <w:lang w:val="en-US" w:eastAsia="zh-CN"/>
              </w:rPr>
              <w:t>三级</w:t>
            </w:r>
            <w:r>
              <w:rPr>
                <w:rFonts w:ascii="宋体" w:hAnsi="宋体"/>
                <w:szCs w:val="21"/>
              </w:rPr>
              <w:t>信息系统进行等级测评及</w:t>
            </w:r>
            <w:r>
              <w:rPr>
                <w:rFonts w:hint="eastAsia" w:ascii="宋体" w:hAnsi="宋体"/>
                <w:szCs w:val="21"/>
                <w:lang w:val="en-US" w:eastAsia="zh-CN"/>
              </w:rPr>
              <w:t>协助</w:t>
            </w:r>
            <w:r>
              <w:rPr>
                <w:rFonts w:ascii="宋体" w:hAnsi="宋体"/>
                <w:szCs w:val="21"/>
              </w:rPr>
              <w:t>备案</w:t>
            </w:r>
            <w:r>
              <w:rPr>
                <w:rFonts w:hint="eastAsia" w:ascii="宋体" w:hAnsi="宋体"/>
                <w:szCs w:val="21"/>
                <w:lang w:eastAsia="zh-CN"/>
              </w:rPr>
              <w:t>，</w:t>
            </w:r>
            <w:r>
              <w:rPr>
                <w:rFonts w:hint="eastAsia" w:ascii="宋体" w:hAnsi="宋体"/>
                <w:szCs w:val="21"/>
                <w:lang w:val="en-US" w:eastAsia="zh-CN"/>
              </w:rPr>
              <w:t>系统名称为：面向患者服务系统、基础支撑系统。</w:t>
            </w:r>
          </w:p>
        </w:tc>
      </w:tr>
      <w:tr w14:paraId="074A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8" w:type="pct"/>
            <w:vMerge w:val="continue"/>
            <w:vAlign w:val="center"/>
          </w:tcPr>
          <w:p w14:paraId="13F1EB6B">
            <w:pPr>
              <w:spacing w:line="276" w:lineRule="auto"/>
              <w:jc w:val="center"/>
              <w:rPr>
                <w:rFonts w:ascii="宋体" w:hAnsi="宋体"/>
                <w:szCs w:val="21"/>
              </w:rPr>
            </w:pPr>
          </w:p>
        </w:tc>
        <w:tc>
          <w:tcPr>
            <w:tcW w:w="748" w:type="pct"/>
            <w:vAlign w:val="center"/>
          </w:tcPr>
          <w:p w14:paraId="42E1363F">
            <w:pPr>
              <w:spacing w:line="276" w:lineRule="auto"/>
              <w:rPr>
                <w:rFonts w:ascii="宋体" w:hAnsi="宋体"/>
                <w:szCs w:val="21"/>
              </w:rPr>
            </w:pPr>
            <w:r>
              <w:rPr>
                <w:rFonts w:ascii="宋体" w:hAnsi="宋体"/>
                <w:szCs w:val="21"/>
              </w:rPr>
              <w:t>测评内容</w:t>
            </w:r>
          </w:p>
        </w:tc>
        <w:tc>
          <w:tcPr>
            <w:tcW w:w="3523" w:type="pct"/>
            <w:vAlign w:val="center"/>
          </w:tcPr>
          <w:p w14:paraId="54EAE893">
            <w:pPr>
              <w:spacing w:line="276" w:lineRule="auto"/>
              <w:rPr>
                <w:rFonts w:ascii="宋体" w:hAnsi="宋体"/>
                <w:szCs w:val="21"/>
              </w:rPr>
            </w:pPr>
            <w:r>
              <w:rPr>
                <w:rFonts w:ascii="宋体" w:hAnsi="宋体"/>
                <w:szCs w:val="21"/>
              </w:rPr>
              <w:t>根据</w:t>
            </w:r>
            <w:r>
              <w:rPr>
                <w:rFonts w:hint="eastAsia" w:ascii="宋体" w:hAnsi="宋体"/>
                <w:szCs w:val="21"/>
                <w:lang w:val="en-US" w:eastAsia="zh-CN"/>
              </w:rPr>
              <w:t>瑞安市妇幼保健院</w:t>
            </w:r>
            <w:r>
              <w:rPr>
                <w:rFonts w:ascii="宋体" w:hAnsi="宋体"/>
                <w:szCs w:val="21"/>
              </w:rPr>
              <w:t>信息系统的安全保护等级，并依据《GB/T 22239-2019 信息安全技术 网络安全等级保护基本要求》、《GB/T 28448-2019信息安全技术 网络安全等级保护测评要求》的条款要求，逐一对信息系统的安全保护等级进行测评，测评的内容包括但不限于以下内容：</w:t>
            </w:r>
          </w:p>
          <w:p w14:paraId="52E93980">
            <w:pPr>
              <w:spacing w:line="276" w:lineRule="auto"/>
              <w:rPr>
                <w:rFonts w:ascii="宋体" w:hAnsi="宋体"/>
                <w:szCs w:val="21"/>
              </w:rPr>
            </w:pPr>
            <w:r>
              <w:rPr>
                <w:rFonts w:ascii="宋体" w:hAnsi="宋体"/>
                <w:szCs w:val="21"/>
              </w:rPr>
              <w:t>（1）安全技术测评：包括物理安全、网络安全、主机系统安全、应用安全和数据安全等五个方面的安全测评。</w:t>
            </w:r>
          </w:p>
          <w:p w14:paraId="584FC521">
            <w:pPr>
              <w:spacing w:line="276" w:lineRule="auto"/>
              <w:rPr>
                <w:rFonts w:ascii="宋体" w:hAnsi="宋体"/>
                <w:szCs w:val="21"/>
              </w:rPr>
            </w:pPr>
            <w:r>
              <w:rPr>
                <w:rFonts w:ascii="宋体" w:hAnsi="宋体"/>
                <w:szCs w:val="21"/>
              </w:rPr>
              <w:t>（2）安全管理测评：安全管理机构、安全管理制度、人员安全管理、系统建设管理和系统运维管理等五个方面的安全测评。</w:t>
            </w:r>
          </w:p>
        </w:tc>
      </w:tr>
      <w:tr w14:paraId="5E7B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8" w:type="pct"/>
            <w:vMerge w:val="continue"/>
            <w:vAlign w:val="center"/>
          </w:tcPr>
          <w:p w14:paraId="4EBD75D0">
            <w:pPr>
              <w:spacing w:line="276" w:lineRule="auto"/>
              <w:jc w:val="center"/>
              <w:rPr>
                <w:rFonts w:ascii="宋体" w:hAnsi="宋体"/>
                <w:szCs w:val="21"/>
              </w:rPr>
            </w:pPr>
          </w:p>
        </w:tc>
        <w:tc>
          <w:tcPr>
            <w:tcW w:w="748" w:type="pct"/>
            <w:vAlign w:val="center"/>
          </w:tcPr>
          <w:p w14:paraId="555D7B63">
            <w:pPr>
              <w:spacing w:line="276" w:lineRule="auto"/>
              <w:rPr>
                <w:rFonts w:ascii="宋体" w:hAnsi="宋体"/>
                <w:szCs w:val="21"/>
              </w:rPr>
            </w:pPr>
            <w:r>
              <w:rPr>
                <w:rFonts w:ascii="宋体" w:hAnsi="宋体"/>
                <w:szCs w:val="21"/>
              </w:rPr>
              <w:t>项目输出</w:t>
            </w:r>
          </w:p>
        </w:tc>
        <w:tc>
          <w:tcPr>
            <w:tcW w:w="3523" w:type="pct"/>
            <w:vAlign w:val="center"/>
          </w:tcPr>
          <w:p w14:paraId="7E536219">
            <w:pPr>
              <w:spacing w:line="276" w:lineRule="auto"/>
              <w:rPr>
                <w:rFonts w:ascii="宋体" w:hAnsi="宋体"/>
                <w:szCs w:val="21"/>
              </w:rPr>
            </w:pPr>
            <w:r>
              <w:rPr>
                <w:rFonts w:ascii="宋体" w:hAnsi="宋体"/>
                <w:szCs w:val="21"/>
              </w:rPr>
              <w:t>测评结束后，应提供如下报告：</w:t>
            </w:r>
          </w:p>
          <w:p w14:paraId="5FE750D1">
            <w:pPr>
              <w:spacing w:line="276" w:lineRule="auto"/>
              <w:rPr>
                <w:rFonts w:ascii="宋体" w:hAnsi="宋体"/>
                <w:szCs w:val="21"/>
              </w:rPr>
            </w:pPr>
            <w:r>
              <w:rPr>
                <w:rFonts w:ascii="宋体" w:hAnsi="宋体"/>
                <w:szCs w:val="21"/>
              </w:rPr>
              <w:t>（1）《信息系统等级保护测评报告》；</w:t>
            </w:r>
          </w:p>
          <w:p w14:paraId="481445F4">
            <w:pPr>
              <w:spacing w:line="276" w:lineRule="auto"/>
              <w:rPr>
                <w:rFonts w:ascii="宋体" w:hAnsi="宋体"/>
                <w:szCs w:val="21"/>
              </w:rPr>
            </w:pPr>
            <w:r>
              <w:rPr>
                <w:rFonts w:ascii="宋体" w:hAnsi="宋体"/>
                <w:szCs w:val="21"/>
              </w:rPr>
              <w:t>（2）《信息系统等级保护整改建议》；</w:t>
            </w:r>
          </w:p>
          <w:p w14:paraId="4CCC8E49">
            <w:pPr>
              <w:spacing w:line="276" w:lineRule="auto"/>
              <w:rPr>
                <w:rFonts w:ascii="宋体" w:hAnsi="宋体"/>
                <w:szCs w:val="21"/>
              </w:rPr>
            </w:pPr>
            <w:r>
              <w:rPr>
                <w:rFonts w:ascii="宋体" w:hAnsi="宋体"/>
                <w:szCs w:val="21"/>
              </w:rPr>
              <w:t>测评工作结束后，协助委托方完成系统的备案工作。</w:t>
            </w:r>
          </w:p>
        </w:tc>
      </w:tr>
      <w:tr w14:paraId="285E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8" w:type="pct"/>
            <w:vMerge w:val="continue"/>
            <w:vAlign w:val="center"/>
          </w:tcPr>
          <w:p w14:paraId="405A2201">
            <w:pPr>
              <w:spacing w:line="276" w:lineRule="auto"/>
              <w:jc w:val="center"/>
              <w:rPr>
                <w:rFonts w:ascii="宋体" w:hAnsi="宋体"/>
                <w:szCs w:val="21"/>
              </w:rPr>
            </w:pPr>
          </w:p>
        </w:tc>
        <w:tc>
          <w:tcPr>
            <w:tcW w:w="748" w:type="pct"/>
            <w:vAlign w:val="center"/>
          </w:tcPr>
          <w:p w14:paraId="5CD75FE5">
            <w:pPr>
              <w:spacing w:line="276" w:lineRule="auto"/>
              <w:rPr>
                <w:rFonts w:ascii="宋体" w:hAnsi="宋体"/>
                <w:szCs w:val="21"/>
              </w:rPr>
            </w:pPr>
            <w:r>
              <w:rPr>
                <w:rFonts w:ascii="宋体" w:hAnsi="宋体"/>
                <w:szCs w:val="21"/>
              </w:rPr>
              <w:t>保密要求</w:t>
            </w:r>
          </w:p>
        </w:tc>
        <w:tc>
          <w:tcPr>
            <w:tcW w:w="3523" w:type="pct"/>
            <w:vAlign w:val="center"/>
          </w:tcPr>
          <w:p w14:paraId="4D86C4BC">
            <w:pPr>
              <w:spacing w:line="276" w:lineRule="auto"/>
              <w:ind w:firstLine="420" w:firstLineChars="200"/>
              <w:rPr>
                <w:rFonts w:ascii="宋体" w:hAnsi="宋体"/>
                <w:szCs w:val="21"/>
              </w:rPr>
            </w:pPr>
            <w:r>
              <w:rPr>
                <w:rFonts w:ascii="宋体" w:hAnsi="宋体"/>
                <w:szCs w:val="21"/>
              </w:rPr>
              <w:t>测评服务商具体测评工作和等级保护测评报告的编写，必须在采购人的指定地点进行。对于测评中的重要资料和结果，在测评期间和测评结束后，测评服务商不得带离该地点。</w:t>
            </w:r>
          </w:p>
          <w:p w14:paraId="46363364">
            <w:pPr>
              <w:spacing w:line="276" w:lineRule="auto"/>
              <w:ind w:firstLine="420" w:firstLineChars="200"/>
              <w:rPr>
                <w:rFonts w:ascii="宋体" w:hAnsi="宋体"/>
                <w:szCs w:val="21"/>
              </w:rPr>
            </w:pPr>
            <w:r>
              <w:rPr>
                <w:rFonts w:ascii="宋体" w:hAnsi="宋体"/>
                <w:szCs w:val="21"/>
              </w:rPr>
              <w:t>测评服务商对本技术要求中的内容及在响应过程中接触的设备信息、数据资料等负有保密责任，不得泄露给任何第三方。无论测评服务商成交与否，其对上述内容的保密责任将长期存在。</w:t>
            </w:r>
          </w:p>
        </w:tc>
      </w:tr>
      <w:tr w14:paraId="43E8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8" w:type="pct"/>
            <w:vMerge w:val="continue"/>
            <w:vAlign w:val="center"/>
          </w:tcPr>
          <w:p w14:paraId="49AFCF32">
            <w:pPr>
              <w:spacing w:line="276" w:lineRule="auto"/>
              <w:jc w:val="center"/>
              <w:rPr>
                <w:rFonts w:ascii="宋体" w:hAnsi="宋体"/>
                <w:szCs w:val="21"/>
              </w:rPr>
            </w:pPr>
          </w:p>
        </w:tc>
        <w:tc>
          <w:tcPr>
            <w:tcW w:w="748" w:type="pct"/>
            <w:vAlign w:val="center"/>
          </w:tcPr>
          <w:p w14:paraId="78AC8408">
            <w:pPr>
              <w:spacing w:line="276" w:lineRule="auto"/>
              <w:rPr>
                <w:rFonts w:ascii="宋体" w:hAnsi="宋体"/>
                <w:szCs w:val="21"/>
              </w:rPr>
            </w:pPr>
            <w:r>
              <w:rPr>
                <w:rFonts w:ascii="宋体" w:hAnsi="宋体"/>
                <w:szCs w:val="21"/>
              </w:rPr>
              <w:t>资质要求</w:t>
            </w:r>
          </w:p>
        </w:tc>
        <w:tc>
          <w:tcPr>
            <w:tcW w:w="3523" w:type="pct"/>
            <w:vAlign w:val="center"/>
          </w:tcPr>
          <w:p w14:paraId="0D522311">
            <w:pPr>
              <w:spacing w:line="276" w:lineRule="auto"/>
              <w:rPr>
                <w:rFonts w:ascii="宋体" w:hAnsi="宋体"/>
                <w:szCs w:val="21"/>
                <w:highlight w:val="none"/>
                <w:lang w:val="en-GB"/>
              </w:rPr>
            </w:pPr>
            <w:r>
              <w:rPr>
                <w:rFonts w:hint="eastAsia" w:ascii="宋体" w:hAnsi="宋体"/>
                <w:szCs w:val="21"/>
                <w:highlight w:val="none"/>
                <w:lang w:val="en-GB"/>
              </w:rPr>
              <w:t>（</w:t>
            </w:r>
            <w:r>
              <w:rPr>
                <w:rFonts w:hint="eastAsia" w:ascii="宋体" w:hAnsi="宋体"/>
                <w:szCs w:val="21"/>
                <w:highlight w:val="none"/>
              </w:rPr>
              <w:t>1</w:t>
            </w:r>
            <w:r>
              <w:rPr>
                <w:rFonts w:hint="eastAsia" w:ascii="宋体" w:hAnsi="宋体"/>
                <w:szCs w:val="21"/>
                <w:highlight w:val="none"/>
                <w:lang w:val="en-GB"/>
              </w:rPr>
              <w:t>）</w:t>
            </w:r>
            <w:r>
              <w:rPr>
                <w:rFonts w:ascii="宋体" w:hAnsi="宋体"/>
                <w:szCs w:val="21"/>
                <w:highlight w:val="none"/>
                <w:lang w:val="en-GB"/>
              </w:rPr>
              <w:t>测评服务商具有</w:t>
            </w:r>
            <w:r>
              <w:rPr>
                <w:rFonts w:hint="eastAsia" w:ascii="宋体" w:hAnsi="宋体"/>
                <w:szCs w:val="21"/>
                <w:highlight w:val="none"/>
                <w:lang w:val="en-GB"/>
              </w:rPr>
              <w:t>公安部第三研究所颁发的网络安全等级测评与检测评估机构服务认证证书；</w:t>
            </w:r>
          </w:p>
          <w:p w14:paraId="2317F5E8">
            <w:pPr>
              <w:pStyle w:val="3"/>
              <w:ind w:firstLine="0"/>
              <w:rPr>
                <w:sz w:val="21"/>
                <w:szCs w:val="21"/>
                <w:highlight w:val="none"/>
                <w:lang w:val="en-GB"/>
              </w:rPr>
            </w:pPr>
            <w:r>
              <w:rPr>
                <w:rFonts w:hint="eastAsia"/>
                <w:szCs w:val="21"/>
                <w:highlight w:val="none"/>
                <w:lang w:val="en-GB"/>
              </w:rPr>
              <w:t>（</w:t>
            </w:r>
            <w:r>
              <w:rPr>
                <w:rFonts w:hint="eastAsia"/>
                <w:szCs w:val="21"/>
                <w:highlight w:val="none"/>
              </w:rPr>
              <w:t>2</w:t>
            </w:r>
            <w:r>
              <w:rPr>
                <w:rFonts w:hint="eastAsia"/>
                <w:szCs w:val="21"/>
                <w:highlight w:val="none"/>
                <w:lang w:val="en-GB"/>
              </w:rPr>
              <w:t>）</w:t>
            </w:r>
            <w:r>
              <w:rPr>
                <w:sz w:val="21"/>
                <w:szCs w:val="21"/>
                <w:highlight w:val="none"/>
                <w:lang w:val="en-GB"/>
              </w:rPr>
              <w:t>测评服务商</w:t>
            </w:r>
            <w:r>
              <w:rPr>
                <w:rFonts w:hint="eastAsia"/>
                <w:sz w:val="21"/>
                <w:szCs w:val="21"/>
                <w:highlight w:val="none"/>
                <w:lang w:val="en-GB"/>
              </w:rPr>
              <w:t>具备有效的浙江省专精特新中小企业证书；</w:t>
            </w:r>
          </w:p>
          <w:p w14:paraId="0F975E17">
            <w:pPr>
              <w:pStyle w:val="3"/>
              <w:ind w:firstLine="0"/>
              <w:rPr>
                <w:sz w:val="21"/>
                <w:szCs w:val="21"/>
                <w:highlight w:val="none"/>
                <w:lang w:val="en-GB"/>
              </w:rPr>
            </w:pPr>
            <w:r>
              <w:rPr>
                <w:rFonts w:hint="eastAsia"/>
                <w:szCs w:val="21"/>
                <w:highlight w:val="none"/>
                <w:lang w:val="en-GB"/>
              </w:rPr>
              <w:t>（</w:t>
            </w:r>
            <w:r>
              <w:rPr>
                <w:rFonts w:hint="eastAsia"/>
                <w:szCs w:val="21"/>
                <w:highlight w:val="none"/>
              </w:rPr>
              <w:t>3</w:t>
            </w:r>
            <w:r>
              <w:rPr>
                <w:rFonts w:hint="eastAsia"/>
                <w:szCs w:val="21"/>
                <w:highlight w:val="none"/>
                <w:lang w:val="en-GB"/>
              </w:rPr>
              <w:t>）</w:t>
            </w:r>
            <w:r>
              <w:rPr>
                <w:sz w:val="21"/>
                <w:szCs w:val="21"/>
                <w:highlight w:val="none"/>
                <w:lang w:val="en-GB"/>
              </w:rPr>
              <w:t>测评服务商</w:t>
            </w:r>
            <w:r>
              <w:rPr>
                <w:rFonts w:hint="eastAsia"/>
                <w:sz w:val="21"/>
                <w:szCs w:val="21"/>
                <w:highlight w:val="none"/>
                <w:lang w:val="en-GB"/>
              </w:rPr>
              <w:t>具有有效的中国合格评定国家认可委员会检验机构认可证书（CNAS）且能力范围包含云计算安全扩展要求和工业控制系统安全扩展；</w:t>
            </w:r>
          </w:p>
          <w:p w14:paraId="3D0162D6">
            <w:pPr>
              <w:spacing w:line="276" w:lineRule="auto"/>
              <w:rPr>
                <w:rFonts w:ascii="宋体" w:hAnsi="宋体"/>
                <w:szCs w:val="21"/>
                <w:highlight w:val="none"/>
                <w:lang w:val="en-GB"/>
              </w:rPr>
            </w:pPr>
            <w:r>
              <w:rPr>
                <w:rFonts w:hint="eastAsia" w:ascii="宋体" w:hAnsi="宋体"/>
                <w:szCs w:val="21"/>
                <w:highlight w:val="none"/>
                <w:lang w:val="en-GB"/>
              </w:rPr>
              <w:t>（</w:t>
            </w:r>
            <w:r>
              <w:rPr>
                <w:rFonts w:hint="eastAsia" w:ascii="宋体" w:hAnsi="宋体"/>
                <w:szCs w:val="21"/>
                <w:highlight w:val="none"/>
                <w:lang w:val="en-US" w:eastAsia="zh-CN"/>
              </w:rPr>
              <w:t>4</w:t>
            </w:r>
            <w:r>
              <w:rPr>
                <w:rFonts w:hint="eastAsia" w:ascii="宋体" w:hAnsi="宋体"/>
                <w:szCs w:val="21"/>
                <w:highlight w:val="none"/>
                <w:lang w:val="en-GB"/>
              </w:rPr>
              <w:t>）</w:t>
            </w:r>
            <w:r>
              <w:rPr>
                <w:rFonts w:ascii="宋体" w:hAnsi="宋体"/>
                <w:szCs w:val="21"/>
                <w:highlight w:val="none"/>
                <w:lang w:val="en-GB"/>
              </w:rPr>
              <w:t>测评服务商具有信息安全风险评估服务资质</w:t>
            </w:r>
            <w:r>
              <w:rPr>
                <w:rFonts w:hint="eastAsia" w:ascii="宋体" w:hAnsi="宋体"/>
                <w:szCs w:val="21"/>
                <w:highlight w:val="none"/>
                <w:lang w:val="en-GB"/>
              </w:rPr>
              <w:t>；</w:t>
            </w:r>
          </w:p>
          <w:p w14:paraId="79397458">
            <w:pPr>
              <w:spacing w:line="276" w:lineRule="auto"/>
              <w:rPr>
                <w:rFonts w:ascii="宋体" w:hAnsi="宋体"/>
                <w:szCs w:val="21"/>
                <w:highlight w:val="none"/>
                <w:lang w:val="en-GB"/>
              </w:rPr>
            </w:pPr>
            <w:r>
              <w:rPr>
                <w:rFonts w:hint="eastAsia" w:ascii="宋体" w:hAnsi="宋体"/>
                <w:szCs w:val="21"/>
                <w:highlight w:val="none"/>
                <w:lang w:val="en-GB"/>
              </w:rPr>
              <w:t>（</w:t>
            </w:r>
            <w:r>
              <w:rPr>
                <w:rFonts w:hint="eastAsia" w:ascii="宋体" w:hAnsi="宋体"/>
                <w:szCs w:val="21"/>
                <w:highlight w:val="none"/>
                <w:lang w:val="en-US" w:eastAsia="zh-CN"/>
              </w:rPr>
              <w:t>5</w:t>
            </w:r>
            <w:r>
              <w:rPr>
                <w:rFonts w:hint="eastAsia" w:ascii="宋体" w:hAnsi="宋体"/>
                <w:szCs w:val="21"/>
                <w:highlight w:val="none"/>
                <w:lang w:val="en-GB"/>
              </w:rPr>
              <w:t>）</w:t>
            </w:r>
            <w:r>
              <w:rPr>
                <w:rFonts w:ascii="宋体" w:hAnsi="宋体"/>
                <w:szCs w:val="21"/>
                <w:highlight w:val="none"/>
                <w:lang w:val="en-GB"/>
              </w:rPr>
              <w:t>测评服务商具有信息安全应急处理服务资质</w:t>
            </w:r>
            <w:r>
              <w:rPr>
                <w:rFonts w:hint="eastAsia" w:ascii="宋体" w:hAnsi="宋体"/>
                <w:szCs w:val="21"/>
                <w:highlight w:val="none"/>
                <w:lang w:val="en-GB"/>
              </w:rPr>
              <w:t>；</w:t>
            </w:r>
          </w:p>
          <w:p w14:paraId="2C31548C">
            <w:pPr>
              <w:spacing w:line="360" w:lineRule="auto"/>
              <w:rPr>
                <w:rFonts w:ascii="宋体" w:hAnsi="宋体" w:cs="宋体"/>
                <w:szCs w:val="21"/>
                <w:highlight w:val="none"/>
              </w:rPr>
            </w:pPr>
            <w:r>
              <w:rPr>
                <w:rFonts w:hint="eastAsia" w:ascii="宋体" w:hAnsi="宋体"/>
                <w:szCs w:val="21"/>
                <w:highlight w:val="none"/>
                <w:lang w:val="en-GB"/>
              </w:rPr>
              <w:t>（</w:t>
            </w:r>
            <w:r>
              <w:rPr>
                <w:rFonts w:hint="eastAsia" w:ascii="宋体" w:hAnsi="宋体"/>
                <w:szCs w:val="21"/>
                <w:highlight w:val="none"/>
                <w:lang w:val="en-US" w:eastAsia="zh-CN"/>
              </w:rPr>
              <w:t>6）</w:t>
            </w:r>
            <w:r>
              <w:rPr>
                <w:szCs w:val="21"/>
                <w:highlight w:val="none"/>
                <w:lang w:val="en-GB"/>
              </w:rPr>
              <w:t>测评服务商</w:t>
            </w:r>
            <w:r>
              <w:rPr>
                <w:rFonts w:hint="eastAsia" w:ascii="宋体" w:hAnsi="宋体" w:cs="宋体"/>
                <w:szCs w:val="21"/>
                <w:highlight w:val="none"/>
              </w:rPr>
              <w:t>具有高可信的网络安全自动化渗透测试平台软著证书的；</w:t>
            </w:r>
          </w:p>
          <w:p w14:paraId="7B854D02">
            <w:pPr>
              <w:pStyle w:val="2"/>
              <w:rPr>
                <w:highlight w:val="none"/>
                <w:lang w:val="en-GB"/>
              </w:rPr>
            </w:pPr>
            <w:r>
              <w:rPr>
                <w:rFonts w:hint="eastAsia" w:ascii="宋体" w:hAnsi="宋体"/>
                <w:szCs w:val="21"/>
                <w:highlight w:val="none"/>
                <w:lang w:val="en-GB"/>
              </w:rPr>
              <w:t>（</w:t>
            </w:r>
            <w:r>
              <w:rPr>
                <w:rFonts w:hint="eastAsia" w:ascii="宋体" w:hAnsi="宋体"/>
                <w:szCs w:val="21"/>
                <w:highlight w:val="none"/>
                <w:lang w:val="en-US" w:eastAsia="zh-CN"/>
              </w:rPr>
              <w:t>7</w:t>
            </w:r>
            <w:r>
              <w:rPr>
                <w:rFonts w:hint="eastAsia" w:ascii="宋体" w:hAnsi="宋体"/>
                <w:szCs w:val="21"/>
                <w:highlight w:val="none"/>
                <w:lang w:val="en-GB"/>
              </w:rPr>
              <w:t>）</w:t>
            </w:r>
            <w:r>
              <w:rPr>
                <w:szCs w:val="21"/>
                <w:highlight w:val="none"/>
                <w:lang w:val="en-GB"/>
              </w:rPr>
              <w:t>测评服务商</w:t>
            </w:r>
            <w:r>
              <w:rPr>
                <w:rFonts w:hint="eastAsia" w:ascii="宋体" w:hAnsi="宋体" w:cs="宋体"/>
                <w:szCs w:val="21"/>
                <w:highlight w:val="none"/>
              </w:rPr>
              <w:t>具有基于TLV编码的数字证书数据格式合规性分析检测系统软著证书。</w:t>
            </w:r>
          </w:p>
        </w:tc>
      </w:tr>
      <w:tr w14:paraId="4087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8" w:type="pct"/>
            <w:vMerge w:val="continue"/>
            <w:vAlign w:val="center"/>
          </w:tcPr>
          <w:p w14:paraId="3DA7D1A0">
            <w:pPr>
              <w:spacing w:line="276" w:lineRule="auto"/>
              <w:jc w:val="center"/>
              <w:rPr>
                <w:rFonts w:ascii="宋体" w:hAnsi="宋体"/>
                <w:szCs w:val="21"/>
              </w:rPr>
            </w:pPr>
          </w:p>
        </w:tc>
        <w:tc>
          <w:tcPr>
            <w:tcW w:w="748" w:type="pct"/>
            <w:vAlign w:val="center"/>
          </w:tcPr>
          <w:p w14:paraId="6A21AF34">
            <w:pPr>
              <w:spacing w:line="276" w:lineRule="auto"/>
              <w:rPr>
                <w:rFonts w:ascii="宋体" w:hAnsi="宋体"/>
                <w:szCs w:val="21"/>
              </w:rPr>
            </w:pPr>
            <w:r>
              <w:rPr>
                <w:rFonts w:ascii="宋体" w:hAnsi="宋体"/>
                <w:szCs w:val="21"/>
              </w:rPr>
              <w:t>其他要求</w:t>
            </w:r>
          </w:p>
        </w:tc>
        <w:tc>
          <w:tcPr>
            <w:tcW w:w="3523" w:type="pct"/>
            <w:vAlign w:val="center"/>
          </w:tcPr>
          <w:p w14:paraId="294B540E">
            <w:pPr>
              <w:pStyle w:val="3"/>
              <w:ind w:firstLine="0"/>
              <w:rPr>
                <w:sz w:val="21"/>
                <w:szCs w:val="21"/>
                <w:highlight w:val="none"/>
              </w:rPr>
            </w:pPr>
            <w:r>
              <w:rPr>
                <w:rFonts w:hint="eastAsia"/>
                <w:sz w:val="21"/>
                <w:szCs w:val="21"/>
                <w:highlight w:val="none"/>
              </w:rPr>
              <w:t>（1）等保测评服务商服务团队负责人同时具备浙江省软件行业协会颁发的信息技术（信息安全）高级工程师证书、具备高级测评师、商用密码应用安全性评估人员考核合格证书、软件性能测试高级工程师、信息安全管理工程师（高级）证书、网络安全服务能力评价证书、信息系统审计师（CISA）、具有10年以上的测评工作经验，并参与过具有大型复杂测评项目的实施经验；</w:t>
            </w:r>
          </w:p>
          <w:p w14:paraId="49E461B8">
            <w:pPr>
              <w:spacing w:line="360" w:lineRule="auto"/>
              <w:rPr>
                <w:highlight w:val="none"/>
              </w:rPr>
            </w:pPr>
            <w:r>
              <w:rPr>
                <w:rFonts w:hint="eastAsia"/>
                <w:szCs w:val="21"/>
                <w:highlight w:val="none"/>
              </w:rPr>
              <w:t>（2）等保测评服务商服务团队负责人</w:t>
            </w:r>
            <w:r>
              <w:rPr>
                <w:rFonts w:hint="eastAsia" w:ascii="宋体" w:hAnsi="宋体" w:cs="仿宋"/>
                <w:szCs w:val="21"/>
                <w:highlight w:val="none"/>
              </w:rPr>
              <w:t>具有浙江省软件行业协会颁发的信息技术（信息安全）高级工程师证书的；</w:t>
            </w:r>
          </w:p>
          <w:p w14:paraId="79FED6E5">
            <w:pPr>
              <w:spacing w:line="360" w:lineRule="auto"/>
              <w:rPr>
                <w:highlight w:val="none"/>
              </w:rPr>
            </w:pPr>
            <w:r>
              <w:rPr>
                <w:rFonts w:hint="eastAsia" w:ascii="宋体" w:hAnsi="宋体" w:cs="仿宋"/>
                <w:szCs w:val="21"/>
                <w:highlight w:val="none"/>
              </w:rPr>
              <w:t>（3）拟派项目其他团队人员（项目负责人除外）同时具有软件性能测试高级工程师证书和注册数据安全治理专业人员（CISP-DSG）证书的；</w:t>
            </w:r>
          </w:p>
        </w:tc>
      </w:tr>
    </w:tbl>
    <w:p w14:paraId="1804ABD7">
      <w:pPr>
        <w:spacing w:line="360" w:lineRule="auto"/>
        <w:ind w:firstLine="422" w:firstLineChars="200"/>
        <w:rPr>
          <w:rFonts w:ascii="宋体" w:hAnsi="宋体"/>
          <w:b/>
          <w:szCs w:val="21"/>
        </w:rPr>
      </w:pPr>
    </w:p>
    <w:p w14:paraId="761C70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iZTk3M2M0MGI2NzQxY2RmN2RkNzEyOTg5ZDFkZGIifQ=="/>
  </w:docVars>
  <w:rsids>
    <w:rsidRoot w:val="00F14F8B"/>
    <w:rsid w:val="000B0A40"/>
    <w:rsid w:val="00135D0F"/>
    <w:rsid w:val="00302BC4"/>
    <w:rsid w:val="005065DF"/>
    <w:rsid w:val="007F627A"/>
    <w:rsid w:val="00A5391B"/>
    <w:rsid w:val="00F14F8B"/>
    <w:rsid w:val="0B4B5FEB"/>
    <w:rsid w:val="0C393E13"/>
    <w:rsid w:val="0DD64374"/>
    <w:rsid w:val="23F43D72"/>
    <w:rsid w:val="42B71105"/>
    <w:rsid w:val="5ABB4C2D"/>
    <w:rsid w:val="668A41FB"/>
    <w:rsid w:val="66BE5AE2"/>
    <w:rsid w:val="7A110E82"/>
    <w:rsid w:val="7BE62BF7"/>
    <w:rsid w:val="7CD96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link w:val="9"/>
    <w:qFormat/>
    <w:uiPriority w:val="0"/>
    <w:pPr>
      <w:adjustRightInd w:val="0"/>
      <w:spacing w:line="360" w:lineRule="auto"/>
      <w:ind w:firstLine="490"/>
      <w:jc w:val="left"/>
    </w:pPr>
    <w:rPr>
      <w:rFonts w:ascii="宋体" w:hAnsi="宋体"/>
      <w:sz w:val="24"/>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字符"/>
    <w:basedOn w:val="8"/>
    <w:link w:val="3"/>
    <w:qFormat/>
    <w:uiPriority w:val="0"/>
    <w:rPr>
      <w:rFonts w:ascii="宋体" w:hAnsi="宋体" w:eastAsia="宋体" w:cs="Times New Roman"/>
      <w:snapToGrid w:val="0"/>
      <w:kern w:val="0"/>
      <w:sz w:val="24"/>
      <w:szCs w:val="20"/>
      <w14:ligatures w14:val="none"/>
    </w:rPr>
  </w:style>
  <w:style w:type="character" w:customStyle="1" w:styleId="10">
    <w:name w:val="页眉 字符"/>
    <w:basedOn w:val="8"/>
    <w:link w:val="5"/>
    <w:qFormat/>
    <w:uiPriority w:val="99"/>
    <w:rPr>
      <w:rFonts w:ascii="Times New Roman" w:hAnsi="Times New Roman" w:eastAsia="宋体" w:cs="Times New Roman"/>
      <w:snapToGrid w:val="0"/>
      <w:sz w:val="18"/>
      <w:szCs w:val="18"/>
    </w:rPr>
  </w:style>
  <w:style w:type="character" w:customStyle="1" w:styleId="11">
    <w:name w:val="页脚 字符"/>
    <w:basedOn w:val="8"/>
    <w:link w:val="4"/>
    <w:qFormat/>
    <w:uiPriority w:val="99"/>
    <w:rPr>
      <w:rFonts w:ascii="Times New Roman" w:hAnsi="Times New Roman" w:eastAsia="宋体" w:cs="Times New Roman"/>
      <w:snapToGrid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1056</Words>
  <Characters>1098</Characters>
  <Lines>18</Lines>
  <Paragraphs>5</Paragraphs>
  <TotalTime>3</TotalTime>
  <ScaleCrop>false</ScaleCrop>
  <LinksUpToDate>false</LinksUpToDate>
  <CharactersWithSpaces>1103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2023-09-18T07:37:00Z</dcterms:created>
  <dc:creator>Administrator</dc:creator>
  <cp:lastModifiedBy>铅丝</cp:lastModifiedBy>
  <dcterms:modified xsi:type="dcterms:W3CDTF">2024-08-19T01:59:41Z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F8ADF7796F5E48D09380755721A038E7_13</vt:lpwstr>
  </property>
</Properties>
</file>