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460" w:lineRule="exact"/>
        <w:jc w:val="both"/>
        <w:rPr>
          <w:rFonts w:hint="eastAsia" w:ascii="宋体" w:hAnsi="宋体"/>
          <w:b/>
          <w:bCs/>
          <w:kern w:val="2"/>
          <w:sz w:val="32"/>
          <w:szCs w:val="24"/>
        </w:rPr>
      </w:pPr>
      <w:r>
        <w:rPr>
          <w:rFonts w:hint="eastAsia" w:ascii="宋体" w:hAnsi="宋体"/>
          <w:b/>
          <w:bCs/>
          <w:kern w:val="2"/>
          <w:sz w:val="32"/>
          <w:szCs w:val="24"/>
          <w:lang w:eastAsia="zh-CN"/>
        </w:rPr>
        <w:t>（</w:t>
      </w:r>
      <w:r>
        <w:rPr>
          <w:rFonts w:hint="eastAsia" w:ascii="宋体" w:hAnsi="宋体"/>
          <w:b/>
          <w:bCs/>
          <w:kern w:val="2"/>
          <w:sz w:val="32"/>
          <w:szCs w:val="24"/>
          <w:lang w:val="en-US" w:eastAsia="zh-CN"/>
        </w:rPr>
        <w:t>附件3</w:t>
      </w:r>
      <w:r>
        <w:rPr>
          <w:rFonts w:hint="eastAsia" w:ascii="宋体" w:hAnsi="宋体"/>
          <w:b/>
          <w:bCs/>
          <w:kern w:val="2"/>
          <w:sz w:val="32"/>
          <w:szCs w:val="24"/>
          <w:lang w:eastAsia="zh-CN"/>
        </w:rPr>
        <w:t>）</w:t>
      </w:r>
      <w:r>
        <w:rPr>
          <w:rFonts w:hint="eastAsia" w:ascii="宋体" w:hAnsi="宋体"/>
          <w:b/>
          <w:bCs/>
          <w:kern w:val="2"/>
          <w:sz w:val="32"/>
          <w:szCs w:val="24"/>
          <w:lang w:val="en-US" w:eastAsia="zh-CN"/>
        </w:rPr>
        <w:t xml:space="preserve">          </w:t>
      </w:r>
      <w:bookmarkStart w:id="0" w:name="_GoBack"/>
      <w:bookmarkEnd w:id="0"/>
      <w:r>
        <w:rPr>
          <w:rFonts w:hint="eastAsia" w:ascii="宋体" w:hAnsi="宋体"/>
          <w:b/>
          <w:bCs/>
          <w:kern w:val="2"/>
          <w:sz w:val="32"/>
          <w:szCs w:val="24"/>
        </w:rPr>
        <w:t>废旧物资销售合同</w:t>
      </w:r>
    </w:p>
    <w:p>
      <w:pPr>
        <w:widowControl w:val="0"/>
        <w:spacing w:line="520" w:lineRule="exact"/>
        <w:ind w:firstLine="361" w:firstLineChars="200"/>
        <w:jc w:val="both"/>
        <w:rPr>
          <w:rFonts w:hint="eastAsia" w:ascii="宋体" w:hAnsi="宋体"/>
          <w:b/>
          <w:bCs/>
          <w:kern w:val="2"/>
          <w:sz w:val="18"/>
          <w:szCs w:val="18"/>
        </w:rPr>
      </w:pPr>
    </w:p>
    <w:p>
      <w:pPr>
        <w:widowControl w:val="0"/>
        <w:spacing w:line="520" w:lineRule="exact"/>
        <w:ind w:firstLine="482" w:firstLineChars="200"/>
        <w:jc w:val="both"/>
        <w:rPr>
          <w:rFonts w:hint="eastAsia" w:ascii="宋体" w:hAnsi="宋体"/>
          <w:kern w:val="2"/>
          <w:sz w:val="24"/>
          <w:szCs w:val="24"/>
        </w:rPr>
      </w:pPr>
      <w:r>
        <w:rPr>
          <w:rFonts w:hint="eastAsia" w:ascii="宋体" w:hAnsi="宋体"/>
          <w:b/>
          <w:bCs/>
          <w:kern w:val="2"/>
          <w:sz w:val="24"/>
          <w:szCs w:val="24"/>
        </w:rPr>
        <w:t>卖方：</w:t>
      </w:r>
      <w:r>
        <w:rPr>
          <w:rFonts w:hint="eastAsia" w:ascii="宋体" w:hAnsi="宋体"/>
          <w:b/>
          <w:bCs/>
          <w:kern w:val="2"/>
          <w:sz w:val="24"/>
          <w:szCs w:val="24"/>
          <w:u w:val="single"/>
        </w:rPr>
        <w:t xml:space="preserve">                                          </w:t>
      </w:r>
      <w:r>
        <w:rPr>
          <w:rFonts w:hint="eastAsia" w:ascii="宋体" w:hAnsi="宋体"/>
          <w:kern w:val="2"/>
          <w:sz w:val="24"/>
          <w:szCs w:val="24"/>
        </w:rPr>
        <w:t xml:space="preserve">   </w:t>
      </w:r>
    </w:p>
    <w:p>
      <w:pPr>
        <w:widowControl w:val="0"/>
        <w:spacing w:line="520" w:lineRule="exact"/>
        <w:ind w:firstLine="482" w:firstLineChars="200"/>
        <w:jc w:val="both"/>
        <w:rPr>
          <w:rFonts w:hint="eastAsia" w:ascii="宋体" w:hAnsi="宋体"/>
          <w:kern w:val="2"/>
          <w:sz w:val="24"/>
          <w:szCs w:val="24"/>
        </w:rPr>
      </w:pPr>
      <w:r>
        <w:rPr>
          <w:rFonts w:hint="eastAsia" w:ascii="宋体" w:hAnsi="宋体"/>
          <w:b/>
          <w:bCs/>
          <w:kern w:val="2"/>
          <w:sz w:val="24"/>
          <w:szCs w:val="24"/>
        </w:rPr>
        <w:t>买方：</w:t>
      </w:r>
      <w:r>
        <w:rPr>
          <w:rFonts w:hint="eastAsia" w:ascii="宋体" w:hAnsi="宋体"/>
          <w:kern w:val="2"/>
          <w:sz w:val="24"/>
          <w:szCs w:val="24"/>
          <w:u w:val="single"/>
        </w:rPr>
        <w:t xml:space="preserve">                                          </w:t>
      </w:r>
      <w:r>
        <w:rPr>
          <w:rFonts w:hint="eastAsia" w:ascii="宋体" w:hAnsi="宋体"/>
          <w:kern w:val="2"/>
          <w:sz w:val="24"/>
          <w:szCs w:val="24"/>
        </w:rPr>
        <w:t xml:space="preserve">       </w:t>
      </w:r>
    </w:p>
    <w:p>
      <w:pPr>
        <w:widowControl w:val="0"/>
        <w:spacing w:line="520" w:lineRule="exact"/>
        <w:jc w:val="both"/>
        <w:rPr>
          <w:rFonts w:hint="eastAsia" w:ascii="宋体" w:hAnsi="宋体"/>
          <w:b/>
          <w:bCs/>
          <w:kern w:val="2"/>
          <w:sz w:val="24"/>
          <w:szCs w:val="24"/>
        </w:rPr>
      </w:pPr>
    </w:p>
    <w:p>
      <w:pPr>
        <w:widowControl w:val="0"/>
        <w:numPr>
          <w:ilvl w:val="0"/>
          <w:numId w:val="1"/>
        </w:numPr>
        <w:spacing w:line="480" w:lineRule="exact"/>
        <w:jc w:val="both"/>
        <w:rPr>
          <w:rFonts w:hint="eastAsia" w:ascii="宋体" w:hAnsi="宋体"/>
          <w:kern w:val="2"/>
          <w:sz w:val="24"/>
          <w:szCs w:val="24"/>
        </w:rPr>
      </w:pPr>
      <w:r>
        <w:rPr>
          <w:rFonts w:hint="eastAsia" w:ascii="宋体" w:hAnsi="宋体"/>
          <w:b/>
          <w:kern w:val="2"/>
          <w:sz w:val="24"/>
          <w:szCs w:val="24"/>
        </w:rPr>
        <w:t>标的物</w:t>
      </w:r>
      <w:r>
        <w:rPr>
          <w:rFonts w:hint="eastAsia" w:ascii="宋体" w:hAnsi="宋体"/>
          <w:kern w:val="2"/>
          <w:sz w:val="24"/>
          <w:szCs w:val="24"/>
        </w:rPr>
        <w:t>（名称、规格和材质、单价、数量、金额（本合同币种为民币））</w:t>
      </w:r>
    </w:p>
    <w:tbl>
      <w:tblPr>
        <w:tblStyle w:val="2"/>
        <w:tblW w:w="9340" w:type="dxa"/>
        <w:tblInd w:w="0" w:type="dxa"/>
        <w:tblLayout w:type="fixed"/>
        <w:tblCellMar>
          <w:top w:w="0" w:type="dxa"/>
          <w:left w:w="0" w:type="dxa"/>
          <w:bottom w:w="0" w:type="dxa"/>
          <w:right w:w="0" w:type="dxa"/>
        </w:tblCellMar>
      </w:tblPr>
      <w:tblGrid>
        <w:gridCol w:w="573"/>
        <w:gridCol w:w="2627"/>
        <w:gridCol w:w="1831"/>
        <w:gridCol w:w="2811"/>
        <w:gridCol w:w="610"/>
        <w:gridCol w:w="888"/>
      </w:tblGrid>
      <w:tr>
        <w:tblPrEx>
          <w:tblCellMar>
            <w:top w:w="0" w:type="dxa"/>
            <w:left w:w="0" w:type="dxa"/>
            <w:bottom w:w="0" w:type="dxa"/>
            <w:right w:w="0" w:type="dxa"/>
          </w:tblCellMar>
        </w:tblPrEx>
        <w:trPr>
          <w:trHeight w:val="437" w:hRule="atLeast"/>
        </w:trPr>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序号</w:t>
            </w:r>
          </w:p>
        </w:tc>
        <w:tc>
          <w:tcPr>
            <w:tcW w:w="26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名称及规格</w:t>
            </w:r>
          </w:p>
        </w:tc>
        <w:tc>
          <w:tcPr>
            <w:tcW w:w="18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 xml:space="preserve">规格型号         </w:t>
            </w:r>
          </w:p>
        </w:tc>
        <w:tc>
          <w:tcPr>
            <w:tcW w:w="28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存放地点</w:t>
            </w:r>
          </w:p>
        </w:tc>
        <w:tc>
          <w:tcPr>
            <w:tcW w:w="6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单位</w:t>
            </w:r>
          </w:p>
        </w:tc>
        <w:tc>
          <w:tcPr>
            <w:tcW w:w="8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数量</w:t>
            </w:r>
          </w:p>
        </w:tc>
      </w:tr>
      <w:tr>
        <w:tblPrEx>
          <w:tblCellMar>
            <w:top w:w="0" w:type="dxa"/>
            <w:left w:w="0" w:type="dxa"/>
            <w:bottom w:w="0" w:type="dxa"/>
            <w:right w:w="0" w:type="dxa"/>
          </w:tblCellMar>
        </w:tblPrEx>
        <w:trPr>
          <w:trHeight w:val="589" w:hRule="atLeast"/>
        </w:trPr>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c>
          <w:tcPr>
            <w:tcW w:w="26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c>
          <w:tcPr>
            <w:tcW w:w="28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32寸长虹液晶彩电</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color w:val="FF0000"/>
                <w:sz w:val="22"/>
                <w:szCs w:val="22"/>
              </w:rPr>
            </w:pPr>
            <w:r>
              <w:rPr>
                <w:rFonts w:hint="eastAsia"/>
                <w:sz w:val="22"/>
                <w:szCs w:val="22"/>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长虹电视</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32寸超薄液晶</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电视机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康佳电视机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42寸</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批</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电磁煲仔炉</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双门冷藏雪柜</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单星盆带平台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暖饭桶车</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大单星盆台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残菜台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大单星盆台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电磁煲仔炉</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干燥箱</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办公椅</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转椅</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会议椅</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七字屏风桌</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员工椅</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3</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联想电脑</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41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惠普主机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3</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爱普生打印机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TM-88IV</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得实打印机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DS-7120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3</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斑马证卡打印机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P330I</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服务器</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HP-DL380</w:t>
            </w:r>
          </w:p>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服务器硬盘</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HP SAS</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核心交换机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H3C 5810-50S</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华硕交换机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H3C 5810-50S</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佳能打印机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3</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利盟打印机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MS312DN</w:t>
            </w:r>
          </w:p>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7</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30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联想电脑一体机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张</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31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路由器</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张</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欧美达麻醉机(配套S/5监护仪(F-CUB..09.))</w:t>
            </w:r>
          </w:p>
          <w:p>
            <w:pPr>
              <w:jc w:val="center"/>
              <w:textAlignment w:val="center"/>
              <w:rPr>
                <w:rFonts w:hint="eastAsia" w:ascii="宋体" w:hAnsi="宋体" w:cs="宋体"/>
                <w:color w:val="000000"/>
                <w:sz w:val="20"/>
                <w:lang w:bidi="ar"/>
              </w:rPr>
            </w:pP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Datex-OhmedaS/5Aespire</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科迪娜小儿呼吸机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Christina</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超声骨密度仪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AchillcsExpress</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手术灯</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Domelux-6262-66</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佳能数码相机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400D</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海尔冰箱</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BCD-180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海尔空调</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KFR-33GW</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多功能空气消毒机</w:t>
            </w:r>
          </w:p>
          <w:p>
            <w:pPr>
              <w:jc w:val="center"/>
              <w:textAlignment w:val="center"/>
              <w:rPr>
                <w:rFonts w:hint="eastAsia" w:ascii="宋体" w:hAnsi="宋体" w:cs="宋体"/>
                <w:color w:val="000000"/>
                <w:sz w:val="20"/>
                <w:lang w:bidi="ar"/>
              </w:rPr>
            </w:pP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Y120</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病历夹推车</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CR</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多功能消毒机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B-100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婴儿培养箱</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YP90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婴儿辐射保暖台</w:t>
            </w:r>
          </w:p>
          <w:p>
            <w:pPr>
              <w:jc w:val="center"/>
              <w:textAlignment w:val="center"/>
              <w:rPr>
                <w:rFonts w:hint="eastAsia" w:ascii="宋体" w:hAnsi="宋体" w:cs="宋体"/>
                <w:color w:val="000000"/>
                <w:sz w:val="20"/>
                <w:lang w:bidi="ar"/>
              </w:rPr>
            </w:pP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HKN-93</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4</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红外耳温仪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PRO6000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四小轮担架车</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ZB14</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药品保存箱</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YC-260L</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等离子空气消毒机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LK/KJF-B100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格力空调</w:t>
            </w:r>
          </w:p>
          <w:p>
            <w:pPr>
              <w:jc w:val="center"/>
              <w:textAlignment w:val="center"/>
              <w:rPr>
                <w:rFonts w:hint="eastAsia" w:ascii="宋体" w:hAnsi="宋体" w:cs="宋体"/>
                <w:color w:val="000000"/>
                <w:sz w:val="20"/>
                <w:lang w:bidi="ar"/>
              </w:rPr>
            </w:pP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3P吸顶</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供应室仓库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电子婴儿称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seca376型</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盆底肌肉检查康复仪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YKFQ2</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全自动酶免工作站</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EVOLYZER-2150-8</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电热蒸汽发生器</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ZFQ-T-60D</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担架推车</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rPr>
                <w:rFonts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等离子空气消毒机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LK/KJ-B</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耳温枪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PRO4000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脉氧仪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N-560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bl>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第二条  质量条款</w:t>
      </w:r>
    </w:p>
    <w:p>
      <w:pPr>
        <w:widowControl w:val="0"/>
        <w:spacing w:line="480" w:lineRule="exact"/>
        <w:ind w:firstLine="480" w:firstLineChars="200"/>
        <w:jc w:val="both"/>
        <w:rPr>
          <w:rFonts w:hint="eastAsia" w:ascii="宋体" w:hAnsi="宋体"/>
          <w:b w:val="0"/>
          <w:bCs w:val="0"/>
          <w:kern w:val="2"/>
          <w:sz w:val="24"/>
          <w:szCs w:val="24"/>
        </w:rPr>
      </w:pPr>
      <w:r>
        <w:rPr>
          <w:rFonts w:hint="eastAsia" w:ascii="宋体" w:hAnsi="宋体"/>
          <w:b w:val="0"/>
          <w:bCs w:val="0"/>
          <w:kern w:val="2"/>
          <w:sz w:val="24"/>
          <w:szCs w:val="24"/>
        </w:rPr>
        <w:t>由于卖方所售是一批已报废的物资，没有材质单、质量保证书、使用说明书等相关资料文件，卖方对所售的该批已报废的物资不给予任何质量及完整性方面的担保或保证；买方在使用、销售或以其他方式处置过程中，产生的质量、安全及完整等问题，卖方不承担任何责任，由此产生一切的责任及后果由买方承担。</w:t>
      </w:r>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第三条  结算</w:t>
      </w:r>
    </w:p>
    <w:p>
      <w:pPr>
        <w:widowControl w:val="0"/>
        <w:spacing w:line="480" w:lineRule="exact"/>
        <w:ind w:firstLine="480" w:firstLineChars="200"/>
        <w:jc w:val="both"/>
        <w:rPr>
          <w:rFonts w:hint="eastAsia" w:ascii="宋体" w:hAnsi="宋体"/>
          <w:kern w:val="2"/>
          <w:sz w:val="24"/>
          <w:szCs w:val="24"/>
          <w:u w:val="single"/>
        </w:rPr>
      </w:pPr>
      <w:r>
        <w:rPr>
          <w:rFonts w:hint="eastAsia" w:ascii="宋体" w:hAnsi="宋体"/>
          <w:kern w:val="2"/>
          <w:sz w:val="24"/>
          <w:szCs w:val="24"/>
        </w:rPr>
        <w:t>买方在中标</w:t>
      </w:r>
      <w:r>
        <w:rPr>
          <w:rFonts w:hint="eastAsia" w:ascii="宋体" w:hAnsi="宋体"/>
          <w:kern w:val="2"/>
          <w:sz w:val="24"/>
          <w:szCs w:val="24"/>
          <w:lang w:val="en-US" w:eastAsia="zh-CN"/>
        </w:rPr>
        <w:t>后3</w:t>
      </w:r>
      <w:r>
        <w:rPr>
          <w:rFonts w:hint="eastAsia" w:ascii="宋体" w:hAnsi="宋体"/>
          <w:kern w:val="2"/>
          <w:sz w:val="24"/>
          <w:szCs w:val="24"/>
        </w:rPr>
        <w:t>日</w:t>
      </w:r>
      <w:r>
        <w:rPr>
          <w:rFonts w:hint="eastAsia" w:ascii="宋体" w:hAnsi="宋体"/>
          <w:kern w:val="2"/>
          <w:sz w:val="24"/>
          <w:szCs w:val="24"/>
          <w:lang w:val="en-US" w:eastAsia="zh-CN"/>
        </w:rPr>
        <w:t>内</w:t>
      </w:r>
      <w:r>
        <w:rPr>
          <w:rFonts w:hint="eastAsia" w:ascii="宋体" w:hAnsi="宋体"/>
          <w:kern w:val="2"/>
          <w:sz w:val="24"/>
          <w:szCs w:val="24"/>
        </w:rPr>
        <w:t>将全部废旧物资成交价款人民币</w:t>
      </w:r>
      <w:r>
        <w:rPr>
          <w:rFonts w:hint="eastAsia" w:ascii="宋体" w:hAnsi="宋体"/>
          <w:kern w:val="2"/>
          <w:sz w:val="24"/>
          <w:szCs w:val="24"/>
          <w:u w:val="single"/>
        </w:rPr>
        <w:t xml:space="preserve">           </w:t>
      </w:r>
      <w:r>
        <w:rPr>
          <w:rFonts w:hint="eastAsia" w:ascii="宋体" w:hAnsi="宋体"/>
          <w:kern w:val="2"/>
          <w:sz w:val="24"/>
          <w:szCs w:val="24"/>
        </w:rPr>
        <w:t>元存入卖方指定帐户，经卖方财务部门确认到帐后方可提货。</w:t>
      </w:r>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第四条  提货方式及时间</w:t>
      </w:r>
    </w:p>
    <w:p>
      <w:pPr>
        <w:widowControl w:val="0"/>
        <w:spacing w:line="480" w:lineRule="exact"/>
        <w:ind w:firstLine="480" w:firstLineChars="200"/>
        <w:jc w:val="both"/>
        <w:rPr>
          <w:rFonts w:hint="eastAsia" w:ascii="宋体" w:hAnsi="宋体"/>
          <w:sz w:val="24"/>
        </w:rPr>
      </w:pPr>
      <w:r>
        <w:rPr>
          <w:rFonts w:hint="eastAsia" w:ascii="宋体" w:hAnsi="宋体"/>
          <w:kern w:val="2"/>
          <w:sz w:val="24"/>
          <w:szCs w:val="24"/>
        </w:rPr>
        <w:t>1、提货方式：买方</w:t>
      </w:r>
      <w:r>
        <w:rPr>
          <w:rFonts w:hint="eastAsia" w:ascii="宋体" w:hAnsi="宋体"/>
          <w:sz w:val="24"/>
        </w:rPr>
        <w:t>自备切割、搬运、装卸、运输等工具，要求施工人员应具有相应的操作证，费用由买方自行承担。在装卸、运输过程中需保持环境卫生、不得随意丢弃建筑垃圾、不损坏花草树木、不损坏建、构筑物或其他附属设施。买方必须在现场设专人进行安全监护，在切割、搬运、装卸、运输等过程中发生的一切安全事故与卖方无关。</w:t>
      </w:r>
    </w:p>
    <w:p>
      <w:pPr>
        <w:widowControl w:val="0"/>
        <w:spacing w:line="480" w:lineRule="exact"/>
        <w:jc w:val="both"/>
        <w:rPr>
          <w:rFonts w:hint="eastAsia" w:ascii="宋体" w:hAnsi="宋体"/>
          <w:b/>
          <w:kern w:val="2"/>
          <w:sz w:val="24"/>
          <w:szCs w:val="24"/>
        </w:rPr>
      </w:pPr>
      <w:r>
        <w:rPr>
          <w:rFonts w:hint="eastAsia" w:ascii="宋体" w:hAnsi="宋体"/>
          <w:kern w:val="2"/>
          <w:sz w:val="24"/>
          <w:szCs w:val="24"/>
        </w:rPr>
        <w:t xml:space="preserve">    2、提货时间：买方应在货款到帐</w:t>
      </w:r>
      <w:r>
        <w:rPr>
          <w:rFonts w:hint="eastAsia" w:ascii="宋体" w:hAnsi="宋体"/>
          <w:kern w:val="2"/>
          <w:sz w:val="24"/>
          <w:szCs w:val="24"/>
          <w:u w:val="single"/>
        </w:rPr>
        <w:t xml:space="preserve">  3 </w:t>
      </w:r>
      <w:r>
        <w:rPr>
          <w:rFonts w:hint="eastAsia" w:ascii="宋体" w:hAnsi="宋体"/>
          <w:kern w:val="2"/>
          <w:sz w:val="24"/>
          <w:szCs w:val="24"/>
        </w:rPr>
        <w:t>个日历天内将该批出售的所有废旧物资提清。</w:t>
      </w:r>
    </w:p>
    <w:p>
      <w:pPr>
        <w:widowControl w:val="0"/>
        <w:tabs>
          <w:tab w:val="left" w:pos="7586"/>
        </w:tabs>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第五条  违约责任</w:t>
      </w:r>
      <w:r>
        <w:rPr>
          <w:rFonts w:ascii="宋体" w:hAnsi="宋体"/>
          <w:b/>
          <w:kern w:val="2"/>
          <w:sz w:val="24"/>
          <w:szCs w:val="24"/>
        </w:rPr>
        <w:tab/>
      </w:r>
    </w:p>
    <w:p>
      <w:pPr>
        <w:widowControl w:val="0"/>
        <w:spacing w:line="480" w:lineRule="exact"/>
        <w:ind w:firstLine="480" w:firstLineChars="200"/>
        <w:jc w:val="both"/>
        <w:rPr>
          <w:rFonts w:hint="eastAsia" w:ascii="宋体" w:hAnsi="宋体"/>
          <w:b/>
          <w:kern w:val="2"/>
          <w:sz w:val="24"/>
          <w:szCs w:val="24"/>
          <w:highlight w:val="yellow"/>
        </w:rPr>
      </w:pPr>
      <w:r>
        <w:rPr>
          <w:rFonts w:hint="eastAsia" w:ascii="宋体" w:hAnsi="宋体"/>
          <w:kern w:val="2"/>
          <w:sz w:val="24"/>
          <w:szCs w:val="24"/>
        </w:rPr>
        <w:t>1、买方应严格遵守国家法律、法规和卖方的规章制度，按本合同条款规定履行义务 ，否则需承担违约责任。</w:t>
      </w:r>
    </w:p>
    <w:p>
      <w:pPr>
        <w:spacing w:line="500" w:lineRule="exact"/>
        <w:ind w:firstLine="480" w:firstLineChars="200"/>
        <w:rPr>
          <w:rFonts w:ascii="宋体" w:hAnsi="宋体"/>
          <w:strike/>
          <w:sz w:val="24"/>
          <w:u w:val="single"/>
        </w:rPr>
      </w:pPr>
      <w:r>
        <w:rPr>
          <w:rFonts w:hint="eastAsia" w:ascii="宋体" w:hAnsi="宋体"/>
          <w:kern w:val="2"/>
          <w:sz w:val="24"/>
          <w:szCs w:val="24"/>
        </w:rPr>
        <w:t>2、买方未能在本合同第四条第2款约定的提货期限内提清全部物资的，</w:t>
      </w:r>
      <w:r>
        <w:rPr>
          <w:rFonts w:hint="eastAsia" w:ascii="宋体" w:hAnsi="宋体"/>
          <w:sz w:val="24"/>
        </w:rPr>
        <w:t>每拖延一天收取买方违约金1000元。拖延二天收取买受方违约金2000元，以此类推。</w:t>
      </w:r>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第六条  争议解决</w:t>
      </w:r>
    </w:p>
    <w:p>
      <w:pPr>
        <w:widowControl w:val="0"/>
        <w:spacing w:line="480" w:lineRule="exact"/>
        <w:ind w:firstLine="468" w:firstLineChars="195"/>
        <w:jc w:val="both"/>
        <w:rPr>
          <w:rFonts w:hint="eastAsia" w:ascii="宋体" w:hAnsi="宋体"/>
          <w:kern w:val="2"/>
          <w:sz w:val="24"/>
          <w:szCs w:val="24"/>
        </w:rPr>
      </w:pPr>
      <w:r>
        <w:rPr>
          <w:rFonts w:hint="eastAsia" w:ascii="宋体" w:hAnsi="宋体"/>
          <w:kern w:val="2"/>
          <w:sz w:val="24"/>
          <w:szCs w:val="24"/>
        </w:rPr>
        <w:t>本合同引起的任何纠纷，由双方友好协商解决。如果不能协商一致，双方向本合同签订地人民法院起诉。</w:t>
      </w:r>
    </w:p>
    <w:p>
      <w:pPr>
        <w:widowControl w:val="0"/>
        <w:spacing w:line="480" w:lineRule="exact"/>
        <w:jc w:val="both"/>
        <w:rPr>
          <w:rFonts w:hint="eastAsia" w:ascii="宋体" w:hAnsi="宋体"/>
          <w:b/>
          <w:kern w:val="2"/>
          <w:sz w:val="24"/>
          <w:szCs w:val="24"/>
        </w:rPr>
      </w:pPr>
      <w:r>
        <w:rPr>
          <w:rFonts w:hint="eastAsia" w:ascii="宋体" w:hAnsi="宋体"/>
          <w:kern w:val="2"/>
          <w:sz w:val="24"/>
          <w:szCs w:val="24"/>
        </w:rPr>
        <w:t xml:space="preserve">    </w:t>
      </w:r>
      <w:r>
        <w:rPr>
          <w:rFonts w:hint="eastAsia" w:ascii="宋体" w:hAnsi="宋体"/>
          <w:b/>
          <w:kern w:val="2"/>
          <w:sz w:val="24"/>
          <w:szCs w:val="24"/>
        </w:rPr>
        <w:t>第七条  其他约定</w:t>
      </w:r>
    </w:p>
    <w:p>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1、双方签订成交合同后，该批成交废品由买方自行保管，期间产生一切的责任及后果由买方承担，卖方不承担任何责任。</w:t>
      </w:r>
    </w:p>
    <w:p>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2、买方在处理</w:t>
      </w:r>
      <w:r>
        <w:rPr>
          <w:rFonts w:hint="eastAsia" w:ascii="宋体" w:hAnsi="宋体" w:cs="宋体"/>
          <w:sz w:val="24"/>
          <w:szCs w:val="24"/>
        </w:rPr>
        <w:t>以上废旧物资时，以不危害、破坏环境为前提，必须遵守国家关于环保、安全、环境等方面的法律、法规。</w:t>
      </w:r>
      <w:r>
        <w:rPr>
          <w:rFonts w:hint="eastAsia" w:ascii="宋体" w:hAnsi="宋体"/>
          <w:kern w:val="2"/>
          <w:sz w:val="24"/>
          <w:szCs w:val="24"/>
        </w:rPr>
        <w:t>否则，由此造成的后果均由</w:t>
      </w:r>
      <w:r>
        <w:rPr>
          <w:rFonts w:hint="eastAsia" w:ascii="宋体" w:hAnsi="宋体"/>
          <w:b/>
          <w:kern w:val="2"/>
          <w:sz w:val="24"/>
          <w:szCs w:val="24"/>
        </w:rPr>
        <w:t>买</w:t>
      </w:r>
      <w:r>
        <w:rPr>
          <w:rFonts w:hint="eastAsia" w:ascii="宋体" w:hAnsi="宋体"/>
          <w:kern w:val="2"/>
          <w:sz w:val="24"/>
          <w:szCs w:val="24"/>
        </w:rPr>
        <w:t>方承担。</w:t>
      </w:r>
    </w:p>
    <w:p>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3、本合同签订地点：瑞安市妇幼保健院。</w:t>
      </w:r>
    </w:p>
    <w:p>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4、本合同自双方签字盖章后即刻生效。</w:t>
      </w:r>
    </w:p>
    <w:p>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5、本合同一式</w:t>
      </w:r>
      <w:r>
        <w:rPr>
          <w:rFonts w:hint="eastAsia" w:ascii="宋体" w:hAnsi="宋体"/>
          <w:kern w:val="2"/>
          <w:sz w:val="24"/>
          <w:szCs w:val="24"/>
          <w:u w:val="single"/>
        </w:rPr>
        <w:t xml:space="preserve">      </w:t>
      </w:r>
      <w:r>
        <w:rPr>
          <w:rFonts w:hint="eastAsia" w:ascii="宋体" w:hAnsi="宋体"/>
          <w:kern w:val="2"/>
          <w:sz w:val="24"/>
          <w:szCs w:val="24"/>
        </w:rPr>
        <w:t>份，甲方执</w:t>
      </w:r>
      <w:r>
        <w:rPr>
          <w:rFonts w:hint="eastAsia" w:ascii="宋体" w:hAnsi="宋体"/>
          <w:kern w:val="2"/>
          <w:sz w:val="24"/>
          <w:szCs w:val="24"/>
          <w:u w:val="single"/>
        </w:rPr>
        <w:t xml:space="preserve">     </w:t>
      </w:r>
      <w:r>
        <w:rPr>
          <w:rFonts w:hint="eastAsia" w:ascii="宋体" w:hAnsi="宋体"/>
          <w:kern w:val="2"/>
          <w:sz w:val="24"/>
          <w:szCs w:val="24"/>
        </w:rPr>
        <w:t>份，乙方执</w:t>
      </w:r>
      <w:r>
        <w:rPr>
          <w:rFonts w:hint="eastAsia" w:ascii="宋体" w:hAnsi="宋体"/>
          <w:kern w:val="2"/>
          <w:sz w:val="24"/>
          <w:szCs w:val="24"/>
          <w:u w:val="single"/>
        </w:rPr>
        <w:t xml:space="preserve">     </w:t>
      </w:r>
      <w:r>
        <w:rPr>
          <w:rFonts w:hint="eastAsia" w:ascii="宋体" w:hAnsi="宋体"/>
          <w:kern w:val="2"/>
          <w:sz w:val="24"/>
          <w:szCs w:val="24"/>
        </w:rPr>
        <w:t>份，具有同等法律效力。</w:t>
      </w:r>
    </w:p>
    <w:p>
      <w:pPr>
        <w:widowControl w:val="0"/>
        <w:spacing w:line="480" w:lineRule="exact"/>
        <w:jc w:val="both"/>
        <w:rPr>
          <w:rFonts w:hint="eastAsia" w:ascii="宋体" w:hAnsi="宋体"/>
          <w:kern w:val="2"/>
          <w:sz w:val="24"/>
          <w:szCs w:val="24"/>
        </w:rPr>
      </w:pPr>
    </w:p>
    <w:p>
      <w:pPr>
        <w:widowControl w:val="0"/>
        <w:spacing w:line="480" w:lineRule="exact"/>
        <w:jc w:val="both"/>
        <w:rPr>
          <w:rFonts w:hint="eastAsia" w:ascii="宋体" w:hAnsi="宋体"/>
          <w:kern w:val="2"/>
          <w:sz w:val="24"/>
          <w:szCs w:val="24"/>
          <w:u w:val="single"/>
        </w:rPr>
      </w:pPr>
      <w:r>
        <w:rPr>
          <w:rFonts w:hint="eastAsia" w:ascii="宋体" w:hAnsi="宋体"/>
          <w:kern w:val="2"/>
          <w:sz w:val="24"/>
          <w:szCs w:val="24"/>
        </w:rPr>
        <w:t>卖方：                                    买方：</w:t>
      </w:r>
    </w:p>
    <w:p>
      <w:pPr>
        <w:widowControl w:val="0"/>
        <w:spacing w:line="480" w:lineRule="exact"/>
        <w:jc w:val="both"/>
        <w:rPr>
          <w:rFonts w:hint="eastAsia" w:ascii="宋体" w:hAnsi="宋体"/>
          <w:kern w:val="2"/>
          <w:sz w:val="24"/>
          <w:szCs w:val="24"/>
        </w:rPr>
      </w:pPr>
      <w:r>
        <w:rPr>
          <w:rFonts w:hint="eastAsia" w:ascii="宋体" w:hAnsi="宋体"/>
          <w:kern w:val="2"/>
          <w:sz w:val="24"/>
          <w:szCs w:val="24"/>
        </w:rPr>
        <w:t xml:space="preserve">法定代表人或授权委托人：                  法定代表人或授权委托人：      </w:t>
      </w:r>
    </w:p>
    <w:p>
      <w:pPr>
        <w:widowControl w:val="0"/>
        <w:spacing w:line="480" w:lineRule="exact"/>
        <w:jc w:val="both"/>
        <w:rPr>
          <w:rFonts w:hint="eastAsia" w:ascii="宋体" w:hAnsi="宋体"/>
          <w:kern w:val="2"/>
          <w:sz w:val="24"/>
          <w:szCs w:val="24"/>
        </w:rPr>
      </w:pPr>
      <w:r>
        <w:rPr>
          <w:rFonts w:hint="eastAsia" w:ascii="宋体" w:hAnsi="宋体"/>
          <w:bCs/>
          <w:kern w:val="2"/>
          <w:sz w:val="24"/>
          <w:szCs w:val="24"/>
        </w:rPr>
        <w:t>时间：</w:t>
      </w:r>
      <w:r>
        <w:rPr>
          <w:rFonts w:hint="eastAsia" w:ascii="宋体" w:hAnsi="宋体"/>
          <w:bCs/>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 xml:space="preserve">日               </w:t>
      </w:r>
      <w:r>
        <w:rPr>
          <w:rFonts w:hint="eastAsia" w:ascii="宋体" w:hAnsi="宋体"/>
          <w:bCs/>
          <w:kern w:val="2"/>
          <w:sz w:val="24"/>
          <w:szCs w:val="24"/>
        </w:rPr>
        <w:t>时间：</w:t>
      </w:r>
      <w:r>
        <w:rPr>
          <w:rFonts w:hint="eastAsia" w:ascii="宋体" w:hAnsi="宋体"/>
          <w:bCs/>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 xml:space="preserve">日   </w:t>
      </w:r>
    </w:p>
    <w:p>
      <w:pPr>
        <w:widowControl w:val="0"/>
        <w:spacing w:line="480" w:lineRule="exact"/>
        <w:jc w:val="both"/>
        <w:rPr>
          <w:rFonts w:hint="eastAsia" w:ascii="宋体" w:hAnsi="宋体"/>
          <w:kern w:val="2"/>
          <w:sz w:val="24"/>
          <w:szCs w:val="24"/>
        </w:rPr>
      </w:pPr>
      <w:r>
        <w:rPr>
          <w:rFonts w:hint="eastAsia" w:ascii="宋体" w:hAnsi="宋体"/>
          <w:kern w:val="2"/>
          <w:sz w:val="24"/>
          <w:szCs w:val="24"/>
        </w:rPr>
        <w:t xml:space="preserve">电　话：                                  电　话：                      </w:t>
      </w:r>
    </w:p>
    <w:p>
      <w:pPr>
        <w:widowControl w:val="0"/>
        <w:spacing w:line="480" w:lineRule="exact"/>
        <w:jc w:val="both"/>
        <w:rPr>
          <w:rFonts w:hint="eastAsia" w:ascii="宋体" w:hAnsi="宋体"/>
          <w:kern w:val="2"/>
          <w:sz w:val="24"/>
          <w:szCs w:val="24"/>
        </w:rPr>
      </w:pPr>
      <w:r>
        <w:rPr>
          <w:rFonts w:hint="eastAsia" w:ascii="宋体" w:hAnsi="宋体"/>
          <w:kern w:val="2"/>
          <w:sz w:val="24"/>
          <w:szCs w:val="24"/>
        </w:rPr>
        <w:t xml:space="preserve">开户行：中国建设银行瑞安支行              开户行：                 </w:t>
      </w:r>
    </w:p>
    <w:p>
      <w:pPr>
        <w:widowControl w:val="0"/>
        <w:spacing w:line="400" w:lineRule="exact"/>
        <w:jc w:val="both"/>
        <w:rPr>
          <w:rFonts w:hint="eastAsia" w:ascii="宋体" w:hAnsi="宋体"/>
          <w:kern w:val="2"/>
          <w:sz w:val="24"/>
          <w:szCs w:val="24"/>
        </w:rPr>
      </w:pPr>
      <w:r>
        <w:rPr>
          <w:rFonts w:hint="eastAsia" w:ascii="宋体" w:hAnsi="宋体"/>
          <w:kern w:val="2"/>
          <w:sz w:val="24"/>
          <w:szCs w:val="24"/>
        </w:rPr>
        <w:t>账　号：</w:t>
      </w:r>
      <w:r>
        <w:rPr>
          <w:rFonts w:ascii="宋体" w:hAnsi="宋体"/>
          <w:kern w:val="2"/>
          <w:sz w:val="24"/>
          <w:szCs w:val="24"/>
        </w:rPr>
        <w:t>33001626135053021114-0002</w:t>
      </w:r>
      <w:r>
        <w:rPr>
          <w:rFonts w:hint="eastAsia" w:ascii="宋体" w:hAnsi="宋体"/>
          <w:kern w:val="2"/>
          <w:sz w:val="24"/>
          <w:szCs w:val="24"/>
        </w:rPr>
        <w:t xml:space="preserve">         账　号：                </w:t>
      </w:r>
    </w:p>
    <w:p>
      <w:r>
        <w:rPr>
          <w:rFonts w:hint="eastAsia" w:ascii="宋体" w:hAnsi="宋体"/>
          <w:kern w:val="2"/>
          <w:sz w:val="24"/>
          <w:szCs w:val="24"/>
        </w:rPr>
        <w:t>税　号：</w:t>
      </w:r>
      <w:r>
        <w:rPr>
          <w:rFonts w:ascii="宋体" w:hAnsi="宋体"/>
          <w:kern w:val="2"/>
          <w:sz w:val="24"/>
          <w:szCs w:val="24"/>
        </w:rPr>
        <w:t xml:space="preserve">12330381470860064L </w:t>
      </w:r>
      <w:r>
        <w:rPr>
          <w:rFonts w:hint="eastAsia" w:ascii="宋体" w:hAnsi="宋体"/>
          <w:kern w:val="2"/>
          <w:sz w:val="24"/>
          <w:szCs w:val="24"/>
        </w:rPr>
        <w:t xml:space="preserve">               税　号：    </w:t>
      </w:r>
      <w:r>
        <w:rPr>
          <w:rFonts w:hint="eastAsia" w:ascii="仿宋_GB2312" w:hAnsi="宋体" w:eastAsia="仿宋_GB2312"/>
          <w:kern w:val="2"/>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67ED5"/>
    <w:multiLevelType w:val="multilevel"/>
    <w:tmpl w:val="2DE67ED5"/>
    <w:lvl w:ilvl="0" w:tentative="0">
      <w:start w:val="1"/>
      <w:numFmt w:val="japaneseCounting"/>
      <w:lvlText w:val="第%1条"/>
      <w:lvlJc w:val="left"/>
      <w:pPr>
        <w:ind w:left="1442" w:hanging="96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2IzNDhhMjRlZWVkN2Y4YzY2NGE4ODA4OTY4MjQifQ=="/>
  </w:docVars>
  <w:rsids>
    <w:rsidRoot w:val="00000000"/>
    <w:rsid w:val="5E3B365F"/>
    <w:rsid w:val="7E27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2022-11-23T01:58:00Z</dcterms:created>
  <dc:creator>Administrator</dc:creator>
  <cp:lastModifiedBy>大国崛起</cp:lastModifiedBy>
  <dcterms:modified xsi:type="dcterms:W3CDTF">2022-11-23T02:27:28Z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1E317FB6CB1E40A0BF87A114032946B2</vt:lpwstr>
  </property>
</Properties>
</file>