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Lines w:val="0"/>
        <w:numPr>
          <w:ilvl w:val="0"/>
          <w:numId w:val="0"/>
        </w:numPr>
        <w:snapToGrid w:val="0"/>
        <w:spacing w:line="360" w:lineRule="auto"/>
        <w:jc w:val="center"/>
        <w:rPr>
          <w:rFonts w:hint="eastAsia" w:ascii="Times New Roman" w:hAnsi="宋体" w:eastAsia="宋体" w:cs="Times New Roman"/>
          <w:color w:val="auto"/>
          <w:kern w:val="2"/>
          <w:sz w:val="36"/>
          <w:szCs w:val="28"/>
          <w:lang w:val="en-US" w:eastAsia="zh-CN"/>
        </w:rPr>
      </w:pPr>
    </w:p>
    <w:p>
      <w:pPr>
        <w:pStyle w:val="3"/>
        <w:keepLines w:val="0"/>
        <w:numPr>
          <w:ilvl w:val="0"/>
          <w:numId w:val="0"/>
        </w:numPr>
        <w:snapToGrid w:val="0"/>
        <w:spacing w:line="360" w:lineRule="auto"/>
        <w:jc w:val="center"/>
        <w:rPr>
          <w:rFonts w:hint="eastAsia" w:ascii="Times New Roman" w:hAnsi="宋体" w:eastAsia="宋体" w:cs="Times New Roman"/>
          <w:color w:val="auto"/>
          <w:kern w:val="2"/>
          <w:sz w:val="36"/>
          <w:szCs w:val="28"/>
          <w:lang w:val="en-US" w:eastAsia="zh-CN"/>
        </w:rPr>
      </w:pPr>
      <w:r>
        <w:rPr>
          <w:rFonts w:hint="eastAsia" w:ascii="Times New Roman" w:hAnsi="宋体" w:cs="Times New Roman"/>
          <w:color w:val="auto"/>
          <w:kern w:val="2"/>
          <w:sz w:val="36"/>
          <w:szCs w:val="28"/>
          <w:lang w:val="en-US" w:eastAsia="zh-CN"/>
        </w:rPr>
        <w:t>智慧医保结算清单接口</w:t>
      </w:r>
      <w:r>
        <w:rPr>
          <w:rFonts w:hint="eastAsia" w:ascii="Times New Roman" w:hAnsi="宋体" w:eastAsia="宋体" w:cs="Times New Roman"/>
          <w:color w:val="auto"/>
          <w:kern w:val="2"/>
          <w:sz w:val="36"/>
          <w:szCs w:val="28"/>
          <w:lang w:val="en-US" w:eastAsia="zh-CN"/>
        </w:rPr>
        <w:t>要求</w:t>
      </w:r>
    </w:p>
    <w:p>
      <w:pPr>
        <w:spacing w:line="480" w:lineRule="auto"/>
        <w:rPr>
          <w:b/>
          <w:bCs/>
          <w:sz w:val="30"/>
          <w:szCs w:val="30"/>
        </w:rPr>
      </w:pPr>
      <w:r>
        <w:rPr>
          <w:rFonts w:hint="eastAsia"/>
          <w:b/>
          <w:bCs/>
          <w:sz w:val="30"/>
          <w:szCs w:val="30"/>
          <w:lang w:val="en-US" w:eastAsia="zh-CN"/>
        </w:rPr>
        <w:t>一、</w:t>
      </w:r>
      <w:r>
        <w:rPr>
          <w:b/>
          <w:bCs/>
          <w:sz w:val="30"/>
          <w:szCs w:val="30"/>
        </w:rPr>
        <w:t>供应商资格要求：</w:t>
      </w:r>
    </w:p>
    <w:p>
      <w:pPr>
        <w:rPr>
          <w:rFonts w:hint="eastAsia" w:ascii="宋体" w:hAnsi="宋体" w:cs="宋体"/>
          <w:lang w:val="en-US" w:eastAsia="zh-CN"/>
        </w:rPr>
      </w:pPr>
      <w:r>
        <w:rPr>
          <w:rFonts w:hint="eastAsia" w:ascii="宋体" w:hAnsi="宋体" w:cs="宋体"/>
          <w:lang w:val="en-US" w:eastAsia="zh-CN"/>
        </w:rPr>
        <w:t>1、符合《中华人民共和国政府采购法》第二十二条对供应商的资格要求；</w:t>
      </w:r>
    </w:p>
    <w:p>
      <w:pPr>
        <w:rPr>
          <w:rFonts w:hint="eastAsia" w:ascii="宋体" w:hAnsi="宋体" w:cs="宋体"/>
          <w:lang w:val="en-US" w:eastAsia="zh-CN"/>
        </w:rPr>
      </w:pPr>
      <w:r>
        <w:rPr>
          <w:rFonts w:hint="eastAsia" w:ascii="宋体" w:hAnsi="宋体" w:cs="宋体"/>
          <w:lang w:val="en-US" w:eastAsia="zh-CN"/>
        </w:rPr>
        <w:t>2.供应商有充分的医院合作案例并提供合同案例复印件加盖公章；</w:t>
      </w:r>
    </w:p>
    <w:p>
      <w:pPr>
        <w:rPr>
          <w:rFonts w:hint="eastAsia" w:ascii="宋体" w:hAnsi="宋体" w:cs="宋体"/>
          <w:lang w:val="en-US" w:eastAsia="zh-CN"/>
        </w:rPr>
      </w:pPr>
      <w:r>
        <w:rPr>
          <w:rFonts w:hint="eastAsia" w:ascii="宋体" w:hAnsi="宋体" w:cs="宋体"/>
          <w:lang w:val="en-US" w:eastAsia="zh-CN"/>
        </w:rPr>
        <w:t>3. 不接受联合体投标；</w:t>
      </w:r>
    </w:p>
    <w:p>
      <w:pPr>
        <w:rPr>
          <w:rFonts w:hint="eastAsia"/>
          <w:lang w:val="en-US" w:eastAsia="zh-CN"/>
        </w:rPr>
      </w:pPr>
      <w:r>
        <w:rPr>
          <w:rFonts w:hint="eastAsia" w:ascii="宋体" w:hAnsi="宋体" w:cs="宋体"/>
          <w:lang w:val="en-US" w:eastAsia="zh-CN"/>
        </w:rPr>
        <w:t>4、法律、行政法规规定的其他条件。</w:t>
      </w:r>
    </w:p>
    <w:p>
      <w:pPr>
        <w:autoSpaceDN w:val="0"/>
        <w:spacing w:line="460" w:lineRule="exact"/>
        <w:rPr>
          <w:rFonts w:hint="eastAsia" w:ascii="新宋体" w:hAnsi="新宋体" w:eastAsia="新宋体" w:cs="新宋体"/>
          <w:bCs/>
          <w:sz w:val="30"/>
          <w:szCs w:val="30"/>
        </w:rPr>
      </w:pPr>
      <w:r>
        <w:rPr>
          <w:rFonts w:hint="eastAsia" w:ascii="新宋体" w:hAnsi="新宋体" w:eastAsia="新宋体" w:cs="新宋体"/>
          <w:b/>
          <w:bCs w:val="0"/>
          <w:sz w:val="30"/>
          <w:szCs w:val="30"/>
          <w:lang w:val="en-US" w:eastAsia="zh-CN"/>
        </w:rPr>
        <w:t>二、招标内容</w:t>
      </w:r>
      <w:r>
        <w:rPr>
          <w:rFonts w:hint="eastAsia" w:ascii="新宋体" w:hAnsi="新宋体" w:eastAsia="新宋体" w:cs="新宋体"/>
          <w:bCs/>
          <w:sz w:val="30"/>
          <w:szCs w:val="30"/>
        </w:rPr>
        <w:t xml:space="preserve">： </w:t>
      </w:r>
    </w:p>
    <w:p>
      <w:pPr>
        <w:rPr>
          <w:rFonts w:hint="eastAsia"/>
          <w:lang w:val="en-US" w:eastAsia="zh-CN"/>
        </w:rPr>
      </w:pPr>
    </w:p>
    <w:tbl>
      <w:tblPr>
        <w:tblStyle w:val="9"/>
        <w:tblW w:w="9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417"/>
        <w:gridCol w:w="5159"/>
        <w:gridCol w:w="849"/>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7" w:type="dxa"/>
            <w:vAlign w:val="center"/>
          </w:tcPr>
          <w:p>
            <w:pPr>
              <w:spacing w:line="300" w:lineRule="exact"/>
              <w:jc w:val="center"/>
              <w:rPr>
                <w:rFonts w:ascii="宋体" w:hAnsi="宋体"/>
                <w:color w:val="000000"/>
                <w:sz w:val="24"/>
                <w:szCs w:val="24"/>
              </w:rPr>
            </w:pPr>
            <w:r>
              <w:rPr>
                <w:rFonts w:hint="eastAsia" w:ascii="宋体" w:hAnsi="宋体"/>
                <w:color w:val="000000"/>
                <w:sz w:val="24"/>
                <w:szCs w:val="24"/>
              </w:rPr>
              <w:t>编号</w:t>
            </w:r>
          </w:p>
        </w:tc>
        <w:tc>
          <w:tcPr>
            <w:tcW w:w="1417" w:type="dxa"/>
            <w:vAlign w:val="center"/>
          </w:tcPr>
          <w:p>
            <w:pPr>
              <w:spacing w:line="300" w:lineRule="exact"/>
              <w:jc w:val="center"/>
              <w:rPr>
                <w:rFonts w:ascii="宋体" w:hAnsi="宋体"/>
                <w:color w:val="000000"/>
                <w:sz w:val="24"/>
                <w:szCs w:val="24"/>
              </w:rPr>
            </w:pPr>
            <w:r>
              <w:rPr>
                <w:rFonts w:hint="eastAsia" w:ascii="宋体" w:hAnsi="宋体"/>
                <w:color w:val="000000"/>
                <w:sz w:val="24"/>
                <w:szCs w:val="24"/>
              </w:rPr>
              <w:t>名称</w:t>
            </w:r>
          </w:p>
        </w:tc>
        <w:tc>
          <w:tcPr>
            <w:tcW w:w="5159" w:type="dxa"/>
            <w:vAlign w:val="center"/>
          </w:tcPr>
          <w:p>
            <w:pPr>
              <w:spacing w:line="300" w:lineRule="exact"/>
              <w:jc w:val="center"/>
              <w:rPr>
                <w:rFonts w:ascii="宋体" w:hAnsi="宋体"/>
                <w:color w:val="000000"/>
                <w:sz w:val="24"/>
                <w:szCs w:val="24"/>
              </w:rPr>
            </w:pPr>
            <w:r>
              <w:rPr>
                <w:rFonts w:hint="eastAsia" w:ascii="宋体" w:hAnsi="宋体"/>
                <w:color w:val="000000"/>
                <w:sz w:val="24"/>
                <w:szCs w:val="24"/>
              </w:rPr>
              <w:t>要求</w:t>
            </w:r>
          </w:p>
        </w:tc>
        <w:tc>
          <w:tcPr>
            <w:tcW w:w="849" w:type="dxa"/>
            <w:vAlign w:val="center"/>
          </w:tcPr>
          <w:p>
            <w:pPr>
              <w:spacing w:line="300" w:lineRule="exact"/>
              <w:jc w:val="center"/>
              <w:rPr>
                <w:rFonts w:ascii="宋体" w:hAnsi="宋体"/>
                <w:color w:val="000000"/>
                <w:sz w:val="24"/>
                <w:szCs w:val="24"/>
              </w:rPr>
            </w:pPr>
            <w:r>
              <w:rPr>
                <w:rFonts w:hint="eastAsia" w:ascii="宋体" w:hAnsi="宋体"/>
                <w:color w:val="000000"/>
                <w:sz w:val="24"/>
                <w:szCs w:val="24"/>
              </w:rPr>
              <w:t>数量</w:t>
            </w:r>
          </w:p>
        </w:tc>
        <w:tc>
          <w:tcPr>
            <w:tcW w:w="1475" w:type="dxa"/>
            <w:vAlign w:val="center"/>
          </w:tcPr>
          <w:p>
            <w:pPr>
              <w:spacing w:line="300" w:lineRule="exact"/>
              <w:jc w:val="center"/>
              <w:rPr>
                <w:rFonts w:hint="eastAsia" w:ascii="宋体" w:hAnsi="宋体" w:eastAsia="宋体"/>
                <w:b/>
                <w:bCs/>
                <w:color w:val="auto"/>
                <w:sz w:val="24"/>
                <w:szCs w:val="24"/>
                <w:lang w:eastAsia="zh-CN"/>
              </w:rPr>
            </w:pPr>
            <w:r>
              <w:rPr>
                <w:rFonts w:hint="eastAsia" w:ascii="宋体" w:hAnsi="宋体"/>
                <w:color w:val="000000"/>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7" w:type="dxa"/>
            <w:vAlign w:val="center"/>
          </w:tcPr>
          <w:p>
            <w:pPr>
              <w:spacing w:line="300" w:lineRule="exact"/>
              <w:jc w:val="center"/>
              <w:rPr>
                <w:rFonts w:ascii="宋体" w:hAnsi="宋体"/>
                <w:color w:val="000000"/>
                <w:sz w:val="24"/>
                <w:szCs w:val="24"/>
              </w:rPr>
            </w:pPr>
            <w:r>
              <w:rPr>
                <w:rFonts w:hint="eastAsia" w:ascii="宋体" w:hAnsi="宋体"/>
                <w:color w:val="000000"/>
                <w:sz w:val="24"/>
                <w:szCs w:val="24"/>
              </w:rPr>
              <w:t>1</w:t>
            </w:r>
          </w:p>
        </w:tc>
        <w:tc>
          <w:tcPr>
            <w:tcW w:w="1417" w:type="dxa"/>
            <w:vAlign w:val="center"/>
          </w:tcPr>
          <w:p>
            <w:pPr>
              <w:jc w:val="center"/>
              <w:rPr>
                <w:rFonts w:hint="default" w:ascii="宋体" w:hAnsi="宋体" w:eastAsia="宋体"/>
                <w:sz w:val="24"/>
                <w:szCs w:val="24"/>
                <w:lang w:val="en-US" w:eastAsia="zh-CN"/>
              </w:rPr>
            </w:pPr>
            <w:r>
              <w:rPr>
                <w:rFonts w:hint="eastAsia" w:ascii="宋体" w:hAnsi="宋体"/>
                <w:color w:val="000000"/>
                <w:sz w:val="24"/>
                <w:szCs w:val="24"/>
                <w:lang w:val="en-US" w:eastAsia="zh-CN"/>
              </w:rPr>
              <w:t>医保结算清单接口</w:t>
            </w:r>
          </w:p>
        </w:tc>
        <w:tc>
          <w:tcPr>
            <w:tcW w:w="5159" w:type="dxa"/>
          </w:tcPr>
          <w:p>
            <w:pPr>
              <w:rPr>
                <w:rFonts w:hint="eastAsia" w:ascii="宋体" w:hAnsi="宋体" w:cs="宋体"/>
                <w:lang w:val="en-US" w:eastAsia="zh-CN"/>
              </w:rPr>
            </w:pPr>
            <w:r>
              <w:rPr>
                <w:rFonts w:hint="eastAsia" w:ascii="宋体" w:hAnsi="宋体" w:cs="宋体"/>
                <w:lang w:val="en-US" w:eastAsia="zh-CN"/>
              </w:rPr>
              <w:t>智慧医保4101A结算清单上传接口</w:t>
            </w:r>
          </w:p>
          <w:p>
            <w:pPr>
              <w:rPr>
                <w:rFonts w:ascii="宋体" w:hAnsi="宋体"/>
                <w:sz w:val="24"/>
                <w:szCs w:val="24"/>
              </w:rPr>
            </w:pPr>
            <w:r>
              <w:rPr>
                <w:rFonts w:hint="eastAsia" w:ascii="宋体" w:hAnsi="宋体" w:cs="宋体"/>
                <w:lang w:val="en-US" w:eastAsia="zh-CN"/>
              </w:rPr>
              <w:t>智慧医保4401住院病案首页上传接口</w:t>
            </w:r>
          </w:p>
        </w:tc>
        <w:tc>
          <w:tcPr>
            <w:tcW w:w="849" w:type="dxa"/>
            <w:vAlign w:val="center"/>
          </w:tcPr>
          <w:p>
            <w:pPr>
              <w:spacing w:line="300" w:lineRule="exact"/>
              <w:jc w:val="center"/>
              <w:rPr>
                <w:rFonts w:ascii="宋体" w:hAnsi="宋体"/>
                <w:color w:val="000000"/>
                <w:sz w:val="24"/>
                <w:szCs w:val="24"/>
              </w:rPr>
            </w:pPr>
            <w:r>
              <w:rPr>
                <w:rFonts w:hint="eastAsia" w:ascii="宋体" w:hAnsi="宋体"/>
                <w:color w:val="000000"/>
                <w:sz w:val="24"/>
                <w:szCs w:val="24"/>
              </w:rPr>
              <w:t>1</w:t>
            </w:r>
          </w:p>
        </w:tc>
        <w:tc>
          <w:tcPr>
            <w:tcW w:w="1475" w:type="dxa"/>
            <w:vAlign w:val="center"/>
          </w:tcPr>
          <w:p>
            <w:pPr>
              <w:spacing w:line="300" w:lineRule="exact"/>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套</w:t>
            </w:r>
          </w:p>
        </w:tc>
      </w:tr>
    </w:tbl>
    <w:p>
      <w:pPr>
        <w:rPr>
          <w:rFonts w:hint="eastAsia"/>
          <w:lang w:val="en-US" w:eastAsia="zh-CN"/>
        </w:rPr>
      </w:pPr>
    </w:p>
    <w:p>
      <w:pPr>
        <w:numPr>
          <w:ilvl w:val="0"/>
          <w:numId w:val="4"/>
        </w:numPr>
        <w:autoSpaceDN w:val="0"/>
        <w:spacing w:line="460" w:lineRule="exact"/>
        <w:rPr>
          <w:rFonts w:hint="eastAsia" w:ascii="新宋体" w:hAnsi="新宋体" w:eastAsia="新宋体" w:cs="新宋体"/>
          <w:b/>
          <w:bCs w:val="0"/>
          <w:sz w:val="30"/>
          <w:szCs w:val="30"/>
          <w:lang w:val="en-US" w:eastAsia="zh-CN"/>
        </w:rPr>
      </w:pPr>
      <w:r>
        <w:rPr>
          <w:rFonts w:hint="eastAsia" w:ascii="新宋体" w:hAnsi="新宋体" w:eastAsia="新宋体" w:cs="新宋体"/>
          <w:b/>
          <w:bCs w:val="0"/>
          <w:sz w:val="30"/>
          <w:szCs w:val="30"/>
          <w:lang w:val="en-US" w:eastAsia="zh-CN"/>
        </w:rPr>
        <w:t>技术参数和功能要求</w:t>
      </w:r>
    </w:p>
    <w:p>
      <w:pPr>
        <w:rPr>
          <w:rFonts w:hint="default" w:ascii="宋体" w:hAnsi="宋体" w:cs="宋体"/>
          <w:lang w:val="en-US" w:eastAsia="zh-CN"/>
        </w:rPr>
      </w:pPr>
      <w:r>
        <w:rPr>
          <w:rFonts w:hint="eastAsia" w:ascii="宋体" w:hAnsi="宋体" w:cs="宋体"/>
          <w:lang w:val="en-US" w:eastAsia="zh-CN"/>
        </w:rPr>
        <w:t>1.技术要求</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1701"/>
        <w:gridCol w:w="5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675" w:type="dxa"/>
            <w:noWrap/>
            <w:vAlign w:val="center"/>
          </w:tcPr>
          <w:p>
            <w:pPr>
              <w:widowControl/>
              <w:spacing w:line="240" w:lineRule="exact"/>
              <w:jc w:val="center"/>
              <w:rPr>
                <w:rFonts w:ascii="微软雅黑" w:hAnsi="微软雅黑" w:eastAsia="微软雅黑" w:cs="微软雅黑"/>
                <w:b/>
                <w:bCs/>
                <w:kern w:val="0"/>
                <w:sz w:val="18"/>
                <w:szCs w:val="18"/>
              </w:rPr>
            </w:pPr>
            <w:r>
              <w:rPr>
                <w:rFonts w:ascii="微软雅黑" w:hAnsi="微软雅黑" w:eastAsia="微软雅黑" w:cs="微软雅黑"/>
                <w:b/>
                <w:bCs/>
                <w:kern w:val="0"/>
                <w:sz w:val="18"/>
                <w:szCs w:val="18"/>
              </w:rPr>
              <w:t>序号</w:t>
            </w:r>
          </w:p>
        </w:tc>
        <w:tc>
          <w:tcPr>
            <w:tcW w:w="1134" w:type="dxa"/>
            <w:noWrap/>
            <w:vAlign w:val="center"/>
          </w:tcPr>
          <w:p>
            <w:pPr>
              <w:widowControl/>
              <w:spacing w:line="240" w:lineRule="exact"/>
              <w:jc w:val="center"/>
              <w:rPr>
                <w:rFonts w:ascii="微软雅黑" w:hAnsi="微软雅黑" w:eastAsia="微软雅黑" w:cs="微软雅黑"/>
                <w:b/>
                <w:bCs/>
                <w:kern w:val="0"/>
                <w:sz w:val="18"/>
                <w:szCs w:val="18"/>
              </w:rPr>
            </w:pPr>
            <w:r>
              <w:rPr>
                <w:rFonts w:ascii="微软雅黑" w:hAnsi="微软雅黑" w:eastAsia="微软雅黑" w:cs="微软雅黑"/>
                <w:b/>
                <w:bCs/>
                <w:kern w:val="0"/>
                <w:sz w:val="18"/>
                <w:szCs w:val="18"/>
              </w:rPr>
              <w:t>业务分类</w:t>
            </w:r>
          </w:p>
        </w:tc>
        <w:tc>
          <w:tcPr>
            <w:tcW w:w="1701" w:type="dxa"/>
            <w:vAlign w:val="center"/>
          </w:tcPr>
          <w:p>
            <w:pPr>
              <w:spacing w:line="240" w:lineRule="exact"/>
              <w:jc w:val="center"/>
              <w:rPr>
                <w:rFonts w:ascii="微软雅黑" w:hAnsi="微软雅黑" w:eastAsia="微软雅黑" w:cs="微软雅黑"/>
                <w:b/>
                <w:bCs/>
                <w:kern w:val="0"/>
                <w:sz w:val="18"/>
                <w:szCs w:val="18"/>
              </w:rPr>
            </w:pPr>
            <w:r>
              <w:rPr>
                <w:rFonts w:ascii="微软雅黑" w:hAnsi="微软雅黑" w:eastAsia="微软雅黑" w:cs="微软雅黑"/>
                <w:b/>
                <w:bCs/>
                <w:kern w:val="0"/>
                <w:sz w:val="18"/>
                <w:szCs w:val="18"/>
              </w:rPr>
              <w:t>功能要求</w:t>
            </w:r>
          </w:p>
        </w:tc>
        <w:tc>
          <w:tcPr>
            <w:tcW w:w="5012" w:type="dxa"/>
            <w:noWrap/>
            <w:vAlign w:val="center"/>
          </w:tcPr>
          <w:p>
            <w:pPr>
              <w:widowControl/>
              <w:spacing w:line="240" w:lineRule="exact"/>
              <w:jc w:val="center"/>
              <w:rPr>
                <w:rFonts w:ascii="微软雅黑" w:hAnsi="微软雅黑" w:eastAsia="微软雅黑" w:cs="微软雅黑"/>
                <w:b/>
                <w:bCs/>
                <w:kern w:val="0"/>
                <w:sz w:val="18"/>
                <w:szCs w:val="18"/>
              </w:rPr>
            </w:pPr>
            <w:r>
              <w:rPr>
                <w:rFonts w:ascii="微软雅黑" w:hAnsi="微软雅黑" w:eastAsia="微软雅黑" w:cs="微软雅黑"/>
                <w:b/>
                <w:bCs/>
                <w:kern w:val="0"/>
                <w:sz w:val="18"/>
                <w:szCs w:val="18"/>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w:t>
            </w:r>
          </w:p>
        </w:tc>
        <w:tc>
          <w:tcPr>
            <w:tcW w:w="1134" w:type="dxa"/>
            <w:vMerge w:val="restart"/>
            <w:noWrap/>
            <w:vAlign w:val="center"/>
          </w:tcPr>
          <w:p>
            <w:pPr>
              <w:widowControl/>
              <w:spacing w:line="240" w:lineRule="exact"/>
              <w:jc w:val="center"/>
              <w:rPr>
                <w:rFonts w:ascii="微软雅黑" w:hAnsi="微软雅黑" w:eastAsia="微软雅黑" w:cs="微软雅黑"/>
                <w:kern w:val="0"/>
                <w:sz w:val="18"/>
                <w:szCs w:val="18"/>
              </w:rPr>
            </w:pPr>
            <w:r>
              <w:rPr>
                <w:rFonts w:ascii="微软雅黑" w:hAnsi="微软雅黑" w:eastAsia="微软雅黑" w:cs="微软雅黑"/>
                <w:kern w:val="0"/>
                <w:sz w:val="18"/>
                <w:szCs w:val="18"/>
              </w:rPr>
              <w:t>智慧医保病案首页数据传输接口</w:t>
            </w:r>
          </w:p>
          <w:p>
            <w:pPr>
              <w:widowControl/>
              <w:spacing w:line="240" w:lineRule="exact"/>
              <w:jc w:val="center"/>
              <w:rPr>
                <w:rFonts w:ascii="微软雅黑" w:hAnsi="微软雅黑" w:eastAsia="微软雅黑" w:cs="微软雅黑"/>
                <w:kern w:val="0"/>
                <w:sz w:val="18"/>
                <w:szCs w:val="18"/>
              </w:rPr>
            </w:pPr>
          </w:p>
          <w:p>
            <w:pPr>
              <w:widowControl/>
              <w:spacing w:line="240" w:lineRule="exact"/>
              <w:jc w:val="center"/>
              <w:rPr>
                <w:rFonts w:ascii="微软雅黑" w:hAnsi="微软雅黑" w:eastAsia="微软雅黑" w:cs="微软雅黑"/>
                <w:kern w:val="0"/>
                <w:sz w:val="18"/>
                <w:szCs w:val="18"/>
              </w:rPr>
            </w:pPr>
          </w:p>
          <w:p>
            <w:pPr>
              <w:widowControl/>
              <w:spacing w:line="240" w:lineRule="exact"/>
              <w:jc w:val="center"/>
              <w:rPr>
                <w:rFonts w:ascii="微软雅黑" w:hAnsi="微软雅黑" w:eastAsia="微软雅黑" w:cs="微软雅黑"/>
                <w:kern w:val="0"/>
                <w:sz w:val="18"/>
                <w:szCs w:val="18"/>
              </w:rPr>
            </w:pPr>
          </w:p>
          <w:p>
            <w:pPr>
              <w:widowControl/>
              <w:spacing w:line="240" w:lineRule="exact"/>
              <w:jc w:val="center"/>
              <w:rPr>
                <w:rFonts w:ascii="微软雅黑" w:hAnsi="微软雅黑" w:eastAsia="微软雅黑" w:cs="微软雅黑"/>
                <w:kern w:val="0"/>
                <w:sz w:val="18"/>
                <w:szCs w:val="18"/>
              </w:rPr>
            </w:pPr>
          </w:p>
          <w:p>
            <w:pPr>
              <w:widowControl/>
              <w:spacing w:line="240" w:lineRule="exact"/>
              <w:jc w:val="center"/>
              <w:rPr>
                <w:rFonts w:ascii="微软雅黑" w:hAnsi="微软雅黑" w:eastAsia="微软雅黑" w:cs="微软雅黑"/>
                <w:kern w:val="0"/>
                <w:sz w:val="18"/>
                <w:szCs w:val="18"/>
              </w:rPr>
            </w:pPr>
          </w:p>
          <w:p>
            <w:pPr>
              <w:spacing w:line="240" w:lineRule="exact"/>
              <w:jc w:val="center"/>
              <w:rPr>
                <w:rFonts w:ascii="微软雅黑" w:hAnsi="微软雅黑" w:eastAsia="微软雅黑" w:cs="微软雅黑"/>
                <w:kern w:val="0"/>
                <w:sz w:val="18"/>
                <w:szCs w:val="18"/>
              </w:rPr>
            </w:pPr>
          </w:p>
        </w:tc>
        <w:tc>
          <w:tcPr>
            <w:tcW w:w="1701" w:type="dxa"/>
            <w:vAlign w:val="center"/>
          </w:tcPr>
          <w:p>
            <w:pPr>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性别校验</w:t>
            </w:r>
          </w:p>
        </w:tc>
        <w:tc>
          <w:tcPr>
            <w:tcW w:w="5012" w:type="dxa"/>
            <w:noWrap/>
            <w:vAlign w:val="center"/>
          </w:tcPr>
          <w:p>
            <w:pPr>
              <w:widowControl/>
              <w:spacing w:line="240" w:lineRule="exact"/>
              <w:jc w:val="lef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性别必须在“性别数据字典”值域范围内。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widowControl/>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年龄与出生日期的校验</w:t>
            </w:r>
          </w:p>
        </w:tc>
        <w:tc>
          <w:tcPr>
            <w:tcW w:w="5012" w:type="dxa"/>
            <w:noWrap/>
            <w:vAlign w:val="center"/>
          </w:tcPr>
          <w:p>
            <w:pPr>
              <w:widowControl/>
              <w:spacing w:line="240" w:lineRule="exact"/>
              <w:jc w:val="lef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年龄=入院日期-出生日期  （误差范围 1 岁）。当入院日期-出生日期&lt;365 天时，年龄必须=0 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widowControl/>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年龄和不足一周岁年龄校验</w:t>
            </w:r>
          </w:p>
        </w:tc>
        <w:tc>
          <w:tcPr>
            <w:tcW w:w="5012" w:type="dxa"/>
            <w:noWrap/>
            <w:vAlign w:val="center"/>
          </w:tcPr>
          <w:p>
            <w:pPr>
              <w:widowControl/>
              <w:spacing w:line="240" w:lineRule="exact"/>
              <w:jc w:val="lef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年龄和不足一周岁年龄有且只有一个&gt;0。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widowControl/>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不足一周岁的年龄校验</w:t>
            </w:r>
          </w:p>
        </w:tc>
        <w:tc>
          <w:tcPr>
            <w:tcW w:w="5012" w:type="dxa"/>
            <w:noWrap/>
            <w:vAlign w:val="center"/>
          </w:tcPr>
          <w:p>
            <w:pPr>
              <w:widowControl/>
              <w:spacing w:line="240" w:lineRule="exact"/>
              <w:jc w:val="lef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（年龄不足 1 周岁的）年龄不能大于 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widowControl/>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新生儿出生体重完整性校验</w:t>
            </w:r>
          </w:p>
        </w:tc>
        <w:tc>
          <w:tcPr>
            <w:tcW w:w="5012" w:type="dxa"/>
            <w:noWrap/>
            <w:vAlign w:val="center"/>
          </w:tcPr>
          <w:p>
            <w:pPr>
              <w:widowControl/>
              <w:spacing w:line="240" w:lineRule="exact"/>
              <w:jc w:val="lef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产科分娩病人 ICD 编码为 Z37 必填； （年龄不足 1 周岁的）年龄≤28 天的新生儿必填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6</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widowControl/>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新生儿入院体重完整性校验</w:t>
            </w:r>
          </w:p>
        </w:tc>
        <w:tc>
          <w:tcPr>
            <w:tcW w:w="5012" w:type="dxa"/>
            <w:noWrap/>
            <w:vAlign w:val="center"/>
          </w:tcPr>
          <w:p>
            <w:pPr>
              <w:widowControl/>
              <w:spacing w:line="240" w:lineRule="exact"/>
              <w:jc w:val="lef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（年龄不足 1 周岁的）年龄≤28  天，新生儿入院体重不能为空。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7</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民族校验</w:t>
            </w:r>
          </w:p>
        </w:tc>
        <w:tc>
          <w:tcPr>
            <w:tcW w:w="5012" w:type="dxa"/>
            <w:noWrap/>
            <w:vAlign w:val="center"/>
          </w:tcPr>
          <w:p>
            <w:pPr>
              <w:widowControl/>
              <w:spacing w:line="240" w:lineRule="exact"/>
              <w:jc w:val="lef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民族必须在“民族数据字典”值域范围内。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8</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身份证号校验</w:t>
            </w:r>
          </w:p>
        </w:tc>
        <w:tc>
          <w:tcPr>
            <w:tcW w:w="5012" w:type="dxa"/>
            <w:noWrap/>
            <w:vAlign w:val="center"/>
          </w:tcPr>
          <w:p>
            <w:pPr>
              <w:widowControl/>
              <w:spacing w:line="240" w:lineRule="exact"/>
              <w:jc w:val="left"/>
              <w:rPr>
                <w:rFonts w:ascii="微软雅黑" w:hAnsi="微软雅黑" w:eastAsia="微软雅黑" w:cs="微软雅黑"/>
                <w:color w:val="000000"/>
                <w:kern w:val="0"/>
                <w:sz w:val="18"/>
                <w:szCs w:val="18"/>
              </w:rPr>
            </w:pPr>
            <w:r>
              <w:rPr>
                <w:rFonts w:hint="eastAsia" w:ascii="微软雅黑" w:hAnsi="微软雅黑" w:eastAsia="微软雅黑" w:cs="微软雅黑"/>
                <w:kern w:val="0"/>
                <w:sz w:val="18"/>
                <w:szCs w:val="18"/>
              </w:rPr>
              <w:t>当身份证件类型为“01  居民身份证”或“02  居民户口簿”且年龄&gt;=14 岁时：</w:t>
            </w:r>
            <w:r>
              <w:rPr>
                <w:rFonts w:hint="eastAsia" w:ascii="微软雅黑" w:hAnsi="微软雅黑" w:eastAsia="微软雅黑" w:cs="微软雅黑"/>
                <w:kern w:val="0"/>
                <w:sz w:val="18"/>
                <w:szCs w:val="18"/>
              </w:rPr>
              <w:br w:type="textWrapping"/>
            </w:r>
            <w:r>
              <w:rPr>
                <w:rFonts w:hint="eastAsia" w:ascii="微软雅黑" w:hAnsi="微软雅黑" w:eastAsia="微软雅黑" w:cs="微软雅黑"/>
                <w:kern w:val="0"/>
                <w:sz w:val="18"/>
                <w:szCs w:val="18"/>
              </w:rPr>
              <w:t>1.身份证号必须为 15 位或 18 位；</w:t>
            </w:r>
            <w:r>
              <w:rPr>
                <w:rFonts w:hint="eastAsia" w:ascii="微软雅黑" w:hAnsi="微软雅黑" w:eastAsia="微软雅黑" w:cs="微软雅黑"/>
                <w:kern w:val="0"/>
                <w:sz w:val="18"/>
                <w:szCs w:val="18"/>
              </w:rPr>
              <w:br w:type="textWrapping"/>
            </w:r>
            <w:r>
              <w:rPr>
                <w:rFonts w:hint="eastAsia" w:ascii="微软雅黑" w:hAnsi="微软雅黑" w:eastAsia="微软雅黑" w:cs="微软雅黑"/>
                <w:kern w:val="0"/>
                <w:sz w:val="18"/>
                <w:szCs w:val="18"/>
              </w:rPr>
              <w:t>2.出生日期应为身份证号 7 至 14 位表示的日期或 7 到 12 位表示的日期；</w:t>
            </w:r>
            <w:r>
              <w:rPr>
                <w:rFonts w:hint="eastAsia" w:ascii="微软雅黑" w:hAnsi="微软雅黑" w:eastAsia="微软雅黑" w:cs="微软雅黑"/>
                <w:kern w:val="0"/>
                <w:sz w:val="18"/>
                <w:szCs w:val="18"/>
              </w:rPr>
              <w:br w:type="textWrapping"/>
            </w:r>
            <w:r>
              <w:rPr>
                <w:rFonts w:hint="eastAsia" w:ascii="微软雅黑" w:hAnsi="微软雅黑" w:eastAsia="微软雅黑" w:cs="微软雅黑"/>
                <w:kern w:val="0"/>
                <w:sz w:val="18"/>
                <w:szCs w:val="18"/>
              </w:rPr>
              <w:t>3.身份证号为 18 位时，第 17 位数字为奇数时，性别应为“男”；身份证号第 17 位数 字为偶数时，性别应为“女”；</w:t>
            </w:r>
            <w:r>
              <w:rPr>
                <w:rFonts w:hint="eastAsia" w:ascii="微软雅黑" w:hAnsi="微软雅黑" w:eastAsia="微软雅黑" w:cs="微软雅黑"/>
                <w:kern w:val="0"/>
                <w:sz w:val="18"/>
                <w:szCs w:val="18"/>
              </w:rPr>
              <w:br w:type="textWrapping"/>
            </w:r>
            <w:r>
              <w:rPr>
                <w:rFonts w:hint="eastAsia" w:ascii="微软雅黑" w:hAnsi="微软雅黑" w:eastAsia="微软雅黑" w:cs="微软雅黑"/>
                <w:kern w:val="0"/>
                <w:sz w:val="18"/>
                <w:szCs w:val="18"/>
              </w:rPr>
              <w:t>4.身份证号为 15 位时，第 15 位数字为奇数时，性别应为“男”；身份证号第 15 位数 字为偶数时，性别应为“女”。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9</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职业校验</w:t>
            </w:r>
          </w:p>
        </w:tc>
        <w:tc>
          <w:tcPr>
            <w:tcW w:w="5012" w:type="dxa"/>
            <w:noWrap/>
            <w:vAlign w:val="center"/>
          </w:tcPr>
          <w:p>
            <w:pPr>
              <w:widowControl/>
              <w:spacing w:line="240" w:lineRule="exact"/>
              <w:jc w:val="lef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职业必须在“职业数据字典”值域范围内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10</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婚姻校验</w:t>
            </w:r>
          </w:p>
        </w:tc>
        <w:tc>
          <w:tcPr>
            <w:tcW w:w="5012" w:type="dxa"/>
            <w:noWrap/>
            <w:vAlign w:val="center"/>
          </w:tcPr>
          <w:p>
            <w:pPr>
              <w:widowControl/>
              <w:spacing w:line="240" w:lineRule="exact"/>
              <w:jc w:val="lef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婚姻必须在“婚姻数据字典”值域范围内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11</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邮编校验</w:t>
            </w:r>
          </w:p>
        </w:tc>
        <w:tc>
          <w:tcPr>
            <w:tcW w:w="5012" w:type="dxa"/>
            <w:noWrap/>
            <w:vAlign w:val="center"/>
          </w:tcPr>
          <w:p>
            <w:pPr>
              <w:widowControl/>
              <w:spacing w:line="240" w:lineRule="exact"/>
              <w:jc w:val="lef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当现住址邮编、户口所在地邮编、工作单位邮编不为空时，必须为 6 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12</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联系人关系校验</w:t>
            </w:r>
          </w:p>
        </w:tc>
        <w:tc>
          <w:tcPr>
            <w:tcW w:w="5012" w:type="dxa"/>
            <w:noWrap/>
            <w:vAlign w:val="center"/>
          </w:tcPr>
          <w:p>
            <w:pPr>
              <w:widowControl/>
              <w:spacing w:line="240" w:lineRule="exact"/>
              <w:jc w:val="lef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联系人关系必须在“联系人关系数据字典”值域范围内。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13</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医疗付费方式校验</w:t>
            </w:r>
          </w:p>
        </w:tc>
        <w:tc>
          <w:tcPr>
            <w:tcW w:w="5012" w:type="dxa"/>
            <w:noWrap/>
            <w:vAlign w:val="center"/>
          </w:tcPr>
          <w:p>
            <w:pPr>
              <w:widowControl/>
              <w:spacing w:line="240" w:lineRule="exact"/>
              <w:jc w:val="lef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医疗付款方式必须在“医疗付费方式数据字典”值域范围内。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14</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入院途径校验</w:t>
            </w:r>
          </w:p>
        </w:tc>
        <w:tc>
          <w:tcPr>
            <w:tcW w:w="5012" w:type="dxa"/>
            <w:noWrap/>
            <w:vAlign w:val="center"/>
          </w:tcPr>
          <w:p>
            <w:pPr>
              <w:widowControl/>
              <w:spacing w:line="240" w:lineRule="exact"/>
              <w:jc w:val="lef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入院途径必须在“入院途径数据字典”值域范围内。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15</w:t>
            </w:r>
          </w:p>
        </w:tc>
        <w:tc>
          <w:tcPr>
            <w:tcW w:w="1134" w:type="dxa"/>
            <w:vMerge w:val="continue"/>
            <w:noWrap/>
            <w:vAlign w:val="center"/>
          </w:tcPr>
          <w:p>
            <w:pPr>
              <w:spacing w:line="240" w:lineRule="exact"/>
              <w:jc w:val="center"/>
              <w:rPr>
                <w:rFonts w:ascii="微软雅黑" w:hAnsi="微软雅黑" w:eastAsia="微软雅黑" w:cs="微软雅黑"/>
                <w:color w:val="000000"/>
                <w:kern w:val="0"/>
                <w:sz w:val="18"/>
                <w:szCs w:val="18"/>
              </w:rPr>
            </w:pPr>
          </w:p>
        </w:tc>
        <w:tc>
          <w:tcPr>
            <w:tcW w:w="1701" w:type="dxa"/>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kern w:val="0"/>
                <w:sz w:val="18"/>
                <w:szCs w:val="18"/>
              </w:rPr>
              <w:t>入院时间，出院时间，手术操作日期关系检验</w:t>
            </w:r>
          </w:p>
        </w:tc>
        <w:tc>
          <w:tcPr>
            <w:tcW w:w="5012" w:type="dxa"/>
            <w:noWrap/>
            <w:vAlign w:val="center"/>
          </w:tcPr>
          <w:p>
            <w:pPr>
              <w:widowControl/>
              <w:spacing w:line="240" w:lineRule="exact"/>
              <w:jc w:val="lef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入院时间≤手术及操作日期≤出院时间。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16</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住院天数校验</w:t>
            </w:r>
          </w:p>
        </w:tc>
        <w:tc>
          <w:tcPr>
            <w:tcW w:w="5012" w:type="dxa"/>
            <w:noWrap/>
            <w:vAlign w:val="center"/>
          </w:tcPr>
          <w:p>
            <w:pPr>
              <w:widowControl/>
              <w:spacing w:line="240" w:lineRule="exact"/>
              <w:jc w:val="left"/>
              <w:rPr>
                <w:rFonts w:ascii="微软雅黑" w:hAnsi="微软雅黑" w:eastAsia="微软雅黑" w:cs="微软雅黑"/>
                <w:color w:val="000000"/>
                <w:kern w:val="0"/>
                <w:sz w:val="18"/>
                <w:szCs w:val="18"/>
              </w:rPr>
            </w:pPr>
            <w:r>
              <w:rPr>
                <w:rFonts w:hint="eastAsia" w:ascii="微软雅黑" w:hAnsi="微软雅黑" w:eastAsia="微软雅黑" w:cs="微软雅黑"/>
                <w:kern w:val="0"/>
                <w:sz w:val="18"/>
                <w:szCs w:val="18"/>
              </w:rPr>
              <w:t>1.住院天数=出院日期-入院日期，按实足天数计算（±1 天误差范围内动允许通过）；当出院日期=入院日期时，住院天数为 1 天 2.住院天数应≥特级护理(天)+一级护理(天)+二级护理(天)+三级护理(天)。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17</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诊断范围校验</w:t>
            </w:r>
          </w:p>
        </w:tc>
        <w:tc>
          <w:tcPr>
            <w:tcW w:w="5012" w:type="dxa"/>
            <w:noWrap/>
            <w:vAlign w:val="center"/>
          </w:tcPr>
          <w:p>
            <w:pPr>
              <w:widowControl/>
              <w:spacing w:line="240" w:lineRule="exact"/>
              <w:jc w:val="lef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医院上传的疾病诊断必须在医保诊断数据列表中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18</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互不共存诊断校验</w:t>
            </w:r>
          </w:p>
        </w:tc>
        <w:tc>
          <w:tcPr>
            <w:tcW w:w="5012" w:type="dxa"/>
            <w:noWrap/>
            <w:vAlign w:val="center"/>
          </w:tcPr>
          <w:p>
            <w:pPr>
              <w:widowControl/>
              <w:spacing w:line="240" w:lineRule="exact"/>
              <w:jc w:val="lef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医保编码中，部分特定诊断不能与其他相关诊断同时出现。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19</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诊断重复性校验</w:t>
            </w:r>
          </w:p>
        </w:tc>
        <w:tc>
          <w:tcPr>
            <w:tcW w:w="5012" w:type="dxa"/>
            <w:noWrap/>
            <w:vAlign w:val="center"/>
          </w:tcPr>
          <w:p>
            <w:pPr>
              <w:widowControl/>
              <w:spacing w:line="240" w:lineRule="exact"/>
              <w:jc w:val="lef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同一病例中住院诊断不可出现相同诊断。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20</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男性诊断校验</w:t>
            </w:r>
          </w:p>
        </w:tc>
        <w:tc>
          <w:tcPr>
            <w:tcW w:w="5012" w:type="dxa"/>
            <w:noWrap/>
            <w:vAlign w:val="center"/>
          </w:tcPr>
          <w:p>
            <w:pPr>
              <w:widowControl/>
              <w:spacing w:line="240" w:lineRule="exact"/>
              <w:jc w:val="lef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男性诊断编码列表中的诊断只适用于男性。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21</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女性诊断校验</w:t>
            </w:r>
          </w:p>
        </w:tc>
        <w:tc>
          <w:tcPr>
            <w:tcW w:w="5012" w:type="dxa"/>
            <w:noWrap/>
            <w:vAlign w:val="center"/>
          </w:tcPr>
          <w:p>
            <w:pPr>
              <w:widowControl/>
              <w:spacing w:line="240" w:lineRule="exact"/>
              <w:jc w:val="lef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女性诊断编码列表中的诊断只适用于女性。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22</w:t>
            </w:r>
          </w:p>
        </w:tc>
        <w:tc>
          <w:tcPr>
            <w:tcW w:w="1134" w:type="dxa"/>
            <w:vMerge w:val="continue"/>
            <w:noWrap/>
            <w:vAlign w:val="center"/>
          </w:tcPr>
          <w:p>
            <w:pPr>
              <w:spacing w:line="240" w:lineRule="exact"/>
              <w:jc w:val="center"/>
              <w:rPr>
                <w:rFonts w:ascii="微软雅黑" w:hAnsi="微软雅黑" w:eastAsia="微软雅黑" w:cs="微软雅黑"/>
                <w:color w:val="000000"/>
                <w:kern w:val="0"/>
                <w:sz w:val="18"/>
                <w:szCs w:val="18"/>
              </w:rPr>
            </w:pPr>
          </w:p>
        </w:tc>
        <w:tc>
          <w:tcPr>
            <w:tcW w:w="1701" w:type="dxa"/>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kern w:val="0"/>
                <w:sz w:val="18"/>
                <w:szCs w:val="18"/>
              </w:rPr>
              <w:t>诊断编码  为分娩与分娩（流产）结局完整性校验</w:t>
            </w:r>
          </w:p>
        </w:tc>
        <w:tc>
          <w:tcPr>
            <w:tcW w:w="5012" w:type="dxa"/>
            <w:noWrap/>
            <w:vAlign w:val="center"/>
          </w:tcPr>
          <w:p>
            <w:pPr>
              <w:widowControl/>
              <w:spacing w:line="240" w:lineRule="exact"/>
              <w:jc w:val="left"/>
              <w:rPr>
                <w:rFonts w:ascii="微软雅黑" w:hAnsi="微软雅黑" w:eastAsia="微软雅黑" w:cs="微软雅黑"/>
                <w:color w:val="000000"/>
                <w:kern w:val="0"/>
                <w:sz w:val="18"/>
                <w:szCs w:val="18"/>
              </w:rPr>
            </w:pPr>
            <w:r>
              <w:rPr>
                <w:rFonts w:hint="eastAsia" w:ascii="微软雅黑" w:hAnsi="微软雅黑" w:eastAsia="微软雅黑" w:cs="微软雅黑"/>
                <w:kern w:val="0"/>
                <w:sz w:val="18"/>
                <w:szCs w:val="18"/>
              </w:rPr>
              <w:t>当主要诊断或者其它诊断编码出现 O80-O84 编码，且无流产结局编码 O00-O08 时，其它诊断编码必须有分娩结局编码 Z37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23</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妊娠伴有疾病校验</w:t>
            </w:r>
          </w:p>
        </w:tc>
        <w:tc>
          <w:tcPr>
            <w:tcW w:w="5012" w:type="dxa"/>
            <w:noWrap/>
            <w:vAlign w:val="center"/>
          </w:tcPr>
          <w:p>
            <w:pPr>
              <w:widowControl/>
              <w:spacing w:line="240" w:lineRule="exact"/>
              <w:jc w:val="left"/>
              <w:rPr>
                <w:rFonts w:ascii="微软雅黑" w:hAnsi="微软雅黑" w:eastAsia="微软雅黑" w:cs="微软雅黑"/>
                <w:color w:val="000000"/>
                <w:kern w:val="0"/>
                <w:sz w:val="18"/>
                <w:szCs w:val="18"/>
              </w:rPr>
            </w:pPr>
            <w:r>
              <w:rPr>
                <w:rFonts w:hint="eastAsia" w:ascii="微软雅黑" w:hAnsi="微软雅黑" w:eastAsia="微软雅黑" w:cs="微软雅黑"/>
                <w:kern w:val="0"/>
                <w:sz w:val="18"/>
                <w:szCs w:val="18"/>
              </w:rPr>
              <w:t>【主要编码/其它编码】出现附件中的妊娠状态编码而没有出现其对应的状态编码，则进</w:t>
            </w:r>
            <w:r>
              <w:rPr>
                <w:rFonts w:hint="eastAsia" w:ascii="微软雅黑" w:hAnsi="微软雅黑" w:eastAsia="微软雅黑" w:cs="微软雅黑"/>
                <w:kern w:val="0"/>
                <w:sz w:val="18"/>
                <w:szCs w:val="18"/>
              </w:rPr>
              <w:br w:type="textWrapping"/>
            </w:r>
            <w:r>
              <w:rPr>
                <w:rFonts w:hint="eastAsia" w:ascii="微软雅黑" w:hAnsi="微软雅黑" w:eastAsia="微软雅黑" w:cs="微软雅黑"/>
                <w:kern w:val="0"/>
                <w:sz w:val="18"/>
                <w:szCs w:val="18"/>
              </w:rPr>
              <w:t>行提醒；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24</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widowControl/>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不能作为主要诊断编码校验</w:t>
            </w:r>
          </w:p>
        </w:tc>
        <w:tc>
          <w:tcPr>
            <w:tcW w:w="5012" w:type="dxa"/>
            <w:noWrap/>
            <w:vAlign w:val="center"/>
          </w:tcPr>
          <w:p>
            <w:pPr>
              <w:widowControl/>
              <w:spacing w:line="240" w:lineRule="exact"/>
              <w:jc w:val="lef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非主要诊断编码操作列表中的诊断不可作为主要编码诊断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25</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入院病情校验</w:t>
            </w:r>
          </w:p>
        </w:tc>
        <w:tc>
          <w:tcPr>
            <w:tcW w:w="5012" w:type="dxa"/>
            <w:noWrap/>
            <w:vAlign w:val="center"/>
          </w:tcPr>
          <w:p>
            <w:pPr>
              <w:widowControl/>
              <w:spacing w:line="240" w:lineRule="exact"/>
              <w:jc w:val="lef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入院病情必须在“入院病情数据字典”值域范围内。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26</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出院情况校验</w:t>
            </w:r>
          </w:p>
        </w:tc>
        <w:tc>
          <w:tcPr>
            <w:tcW w:w="5012" w:type="dxa"/>
            <w:noWrap/>
            <w:vAlign w:val="center"/>
          </w:tcPr>
          <w:p>
            <w:pPr>
              <w:widowControl/>
              <w:spacing w:line="240" w:lineRule="exact"/>
              <w:jc w:val="lef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出院情况必须在“出院情况数据字典”值域范围内。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27</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widowControl/>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损伤和中毒病人编码校验</w:t>
            </w:r>
          </w:p>
        </w:tc>
        <w:tc>
          <w:tcPr>
            <w:tcW w:w="5012" w:type="dxa"/>
            <w:noWrap/>
            <w:vAlign w:val="center"/>
          </w:tcPr>
          <w:p>
            <w:pPr>
              <w:widowControl/>
              <w:spacing w:line="240" w:lineRule="exact"/>
              <w:jc w:val="left"/>
              <w:rPr>
                <w:rFonts w:ascii="微软雅黑" w:hAnsi="微软雅黑" w:eastAsia="微软雅黑" w:cs="微软雅黑"/>
                <w:color w:val="000000"/>
                <w:kern w:val="0"/>
                <w:sz w:val="18"/>
                <w:szCs w:val="18"/>
              </w:rPr>
            </w:pPr>
            <w:r>
              <w:rPr>
                <w:rFonts w:hint="eastAsia" w:ascii="微软雅黑" w:hAnsi="微软雅黑" w:eastAsia="微软雅黑" w:cs="微软雅黑"/>
                <w:kern w:val="0"/>
                <w:sz w:val="18"/>
                <w:szCs w:val="18"/>
              </w:rPr>
              <w:t>1.当医保主要疾病诊断编码为  ：S00-T99，则损伤和中毒外部原因编码、损伤和中毒</w:t>
            </w:r>
            <w:r>
              <w:rPr>
                <w:rFonts w:hint="eastAsia" w:ascii="微软雅黑" w:hAnsi="微软雅黑" w:eastAsia="微软雅黑" w:cs="微软雅黑"/>
                <w:kern w:val="0"/>
                <w:sz w:val="18"/>
                <w:szCs w:val="18"/>
              </w:rPr>
              <w:br w:type="textWrapping"/>
            </w:r>
            <w:r>
              <w:rPr>
                <w:rFonts w:hint="eastAsia" w:ascii="微软雅黑" w:hAnsi="微软雅黑" w:eastAsia="微软雅黑" w:cs="微软雅黑"/>
                <w:kern w:val="0"/>
                <w:sz w:val="18"/>
                <w:szCs w:val="18"/>
              </w:rPr>
              <w:t>外部原因名称必填  ；</w:t>
            </w:r>
            <w:r>
              <w:rPr>
                <w:rFonts w:hint="eastAsia" w:ascii="微软雅黑" w:hAnsi="微软雅黑" w:eastAsia="微软雅黑" w:cs="微软雅黑"/>
                <w:kern w:val="0"/>
                <w:sz w:val="18"/>
                <w:szCs w:val="18"/>
              </w:rPr>
              <w:br w:type="textWrapping"/>
            </w:r>
            <w:r>
              <w:rPr>
                <w:rFonts w:hint="eastAsia" w:ascii="微软雅黑" w:hAnsi="微软雅黑" w:eastAsia="微软雅黑" w:cs="微软雅黑"/>
                <w:kern w:val="0"/>
                <w:sz w:val="18"/>
                <w:szCs w:val="18"/>
              </w:rPr>
              <w:t>2.损伤和中毒外部原因编码必须为 V、W、X、Y 开头的编码。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28</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病理诊断编码校验</w:t>
            </w:r>
          </w:p>
        </w:tc>
        <w:tc>
          <w:tcPr>
            <w:tcW w:w="5012" w:type="dxa"/>
            <w:noWrap/>
            <w:vAlign w:val="center"/>
          </w:tcPr>
          <w:p>
            <w:pPr>
              <w:widowControl/>
              <w:spacing w:line="240" w:lineRule="exact"/>
              <w:jc w:val="lef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病理诊断编码范围：M80000/0-M99999/6   ，如果填“-”，则不校验。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29</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有无过敏校验</w:t>
            </w:r>
          </w:p>
        </w:tc>
        <w:tc>
          <w:tcPr>
            <w:tcW w:w="5012" w:type="dxa"/>
            <w:noWrap/>
            <w:vAlign w:val="center"/>
          </w:tcPr>
          <w:p>
            <w:pPr>
              <w:widowControl/>
              <w:spacing w:line="240" w:lineRule="exact"/>
              <w:jc w:val="lef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有无过敏必须在“有无数据字典”值域范围内。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30</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患者死亡尸检校验</w:t>
            </w:r>
          </w:p>
        </w:tc>
        <w:tc>
          <w:tcPr>
            <w:tcW w:w="5012" w:type="dxa"/>
            <w:noWrap/>
            <w:vAlign w:val="center"/>
          </w:tcPr>
          <w:p>
            <w:pPr>
              <w:widowControl/>
              <w:spacing w:line="240" w:lineRule="exact"/>
              <w:jc w:val="lef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患者死亡尸检必须在“是否数据字典”值域范围内。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31</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ABO 血型校验</w:t>
            </w:r>
          </w:p>
        </w:tc>
        <w:tc>
          <w:tcPr>
            <w:tcW w:w="5012" w:type="dxa"/>
            <w:noWrap/>
            <w:vAlign w:val="center"/>
          </w:tcPr>
          <w:p>
            <w:pPr>
              <w:widowControl/>
              <w:spacing w:line="240" w:lineRule="exact"/>
              <w:jc w:val="lef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ABO 血型必须在“ABO 血型数据字典”值域范围内。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32</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RH 血型校验</w:t>
            </w:r>
          </w:p>
        </w:tc>
        <w:tc>
          <w:tcPr>
            <w:tcW w:w="5012" w:type="dxa"/>
            <w:noWrap/>
            <w:vAlign w:val="center"/>
          </w:tcPr>
          <w:p>
            <w:pPr>
              <w:widowControl/>
              <w:spacing w:line="240" w:lineRule="exact"/>
              <w:jc w:val="lef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RH 血型必须在“RH 血型数据字典”值域范围内。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33</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质控日期范围校验</w:t>
            </w:r>
          </w:p>
        </w:tc>
        <w:tc>
          <w:tcPr>
            <w:tcW w:w="5012" w:type="dxa"/>
            <w:noWrap/>
            <w:vAlign w:val="center"/>
          </w:tcPr>
          <w:p>
            <w:pPr>
              <w:widowControl/>
              <w:spacing w:line="240" w:lineRule="exact"/>
              <w:jc w:val="lef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质控日期应&gt;=出院日期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34</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手术患者类型校验</w:t>
            </w:r>
          </w:p>
        </w:tc>
        <w:tc>
          <w:tcPr>
            <w:tcW w:w="5012" w:type="dxa"/>
            <w:noWrap/>
            <w:vAlign w:val="center"/>
          </w:tcPr>
          <w:p>
            <w:pPr>
              <w:widowControl/>
              <w:spacing w:line="240" w:lineRule="exact"/>
              <w:jc w:val="lef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手术患者类型必须在“手术患者类型数据字典”值域范围内。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35</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手术操作范围校验</w:t>
            </w:r>
          </w:p>
        </w:tc>
        <w:tc>
          <w:tcPr>
            <w:tcW w:w="5012" w:type="dxa"/>
            <w:noWrap/>
            <w:vAlign w:val="center"/>
          </w:tcPr>
          <w:p>
            <w:pPr>
              <w:widowControl/>
              <w:spacing w:line="240" w:lineRule="exact"/>
              <w:jc w:val="lef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医院上传手术操作必须在医保手术及操作列表中。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36</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widowControl/>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非主要手术操作编码校验</w:t>
            </w:r>
          </w:p>
        </w:tc>
        <w:tc>
          <w:tcPr>
            <w:tcW w:w="5012" w:type="dxa"/>
            <w:noWrap/>
            <w:vAlign w:val="center"/>
          </w:tcPr>
          <w:p>
            <w:pPr>
              <w:widowControl/>
              <w:spacing w:line="240" w:lineRule="exact"/>
              <w:jc w:val="lef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非主要手术操作列表中的操作不可作为主要手术操作。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37</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男性手术操作校验</w:t>
            </w:r>
          </w:p>
        </w:tc>
        <w:tc>
          <w:tcPr>
            <w:tcW w:w="5012" w:type="dxa"/>
            <w:noWrap/>
            <w:vAlign w:val="center"/>
          </w:tcPr>
          <w:p>
            <w:pPr>
              <w:widowControl/>
              <w:spacing w:line="240" w:lineRule="exact"/>
              <w:jc w:val="lef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当出现“男性手术操作列表”中的编码时，性别只能为“1  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38</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女性手术操作校验</w:t>
            </w:r>
          </w:p>
        </w:tc>
        <w:tc>
          <w:tcPr>
            <w:tcW w:w="5012" w:type="dxa"/>
            <w:noWrap/>
            <w:vAlign w:val="center"/>
          </w:tcPr>
          <w:p>
            <w:pPr>
              <w:widowControl/>
              <w:spacing w:line="240" w:lineRule="exact"/>
              <w:jc w:val="lef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当出现“女性手术操作列表”中的编码时，性别只能为“2  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39</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手术信息校验</w:t>
            </w:r>
          </w:p>
        </w:tc>
        <w:tc>
          <w:tcPr>
            <w:tcW w:w="5012" w:type="dxa"/>
            <w:noWrap/>
            <w:vAlign w:val="center"/>
          </w:tcPr>
          <w:p>
            <w:pPr>
              <w:widowControl/>
              <w:spacing w:line="240" w:lineRule="exact"/>
              <w:jc w:val="left"/>
              <w:rPr>
                <w:rFonts w:ascii="微软雅黑" w:hAnsi="微软雅黑" w:eastAsia="微软雅黑" w:cs="微软雅黑"/>
                <w:color w:val="000000"/>
                <w:kern w:val="0"/>
                <w:sz w:val="18"/>
                <w:szCs w:val="18"/>
              </w:rPr>
            </w:pPr>
            <w:r>
              <w:rPr>
                <w:rFonts w:hint="eastAsia" w:ascii="微软雅黑" w:hAnsi="微软雅黑" w:eastAsia="微软雅黑" w:cs="微软雅黑"/>
                <w:kern w:val="0"/>
                <w:sz w:val="18"/>
                <w:szCs w:val="18"/>
              </w:rPr>
              <w:t>医保主要操作编码、医保其他操作编码中出现附件所列的编码，则手术级别、操作医师</w:t>
            </w:r>
            <w:r>
              <w:rPr>
                <w:rFonts w:hint="eastAsia" w:ascii="微软雅黑" w:hAnsi="微软雅黑" w:eastAsia="微软雅黑" w:cs="微软雅黑"/>
                <w:kern w:val="0"/>
                <w:sz w:val="18"/>
                <w:szCs w:val="18"/>
              </w:rPr>
              <w:br w:type="textWrapping"/>
            </w:r>
            <w:r>
              <w:rPr>
                <w:rFonts w:hint="eastAsia" w:ascii="微软雅黑" w:hAnsi="微软雅黑" w:eastAsia="微软雅黑" w:cs="微软雅黑"/>
                <w:kern w:val="0"/>
                <w:sz w:val="18"/>
                <w:szCs w:val="18"/>
              </w:rPr>
              <w:t>切口类型、切口愈合等级、麻醉方式、麻醉医师不能为空。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40</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生存矛盾校验</w:t>
            </w:r>
          </w:p>
        </w:tc>
        <w:tc>
          <w:tcPr>
            <w:tcW w:w="5012" w:type="dxa"/>
            <w:noWrap/>
            <w:vAlign w:val="center"/>
          </w:tcPr>
          <w:p>
            <w:pPr>
              <w:widowControl/>
              <w:spacing w:line="240" w:lineRule="exact"/>
              <w:jc w:val="left"/>
              <w:rPr>
                <w:rFonts w:ascii="微软雅黑" w:hAnsi="微软雅黑" w:eastAsia="微软雅黑" w:cs="微软雅黑"/>
                <w:color w:val="000000"/>
                <w:kern w:val="0"/>
                <w:sz w:val="18"/>
                <w:szCs w:val="18"/>
              </w:rPr>
            </w:pPr>
            <w:r>
              <w:rPr>
                <w:rFonts w:hint="eastAsia" w:ascii="微软雅黑" w:hAnsi="微软雅黑" w:eastAsia="微软雅黑" w:cs="微软雅黑"/>
                <w:kern w:val="0"/>
                <w:sz w:val="18"/>
                <w:szCs w:val="18"/>
              </w:rPr>
              <w:t>1.当出院情况为“4  死亡”时，离院方式必须为“5  死亡”；</w:t>
            </w:r>
            <w:r>
              <w:rPr>
                <w:rFonts w:hint="eastAsia" w:ascii="微软雅黑" w:hAnsi="微软雅黑" w:eastAsia="微软雅黑" w:cs="微软雅黑"/>
                <w:kern w:val="0"/>
                <w:sz w:val="18"/>
                <w:szCs w:val="18"/>
              </w:rPr>
              <w:br w:type="textWrapping"/>
            </w:r>
            <w:r>
              <w:rPr>
                <w:rFonts w:hint="eastAsia" w:ascii="微软雅黑" w:hAnsi="微软雅黑" w:eastAsia="微软雅黑" w:cs="微软雅黑"/>
                <w:kern w:val="0"/>
                <w:sz w:val="18"/>
                <w:szCs w:val="18"/>
              </w:rPr>
              <w:t>2.当死亡患者尸检为“1  是”时，离院方式必须为“5  死亡”。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41</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总费用校验</w:t>
            </w:r>
          </w:p>
        </w:tc>
        <w:tc>
          <w:tcPr>
            <w:tcW w:w="5012" w:type="dxa"/>
            <w:noWrap/>
            <w:vAlign w:val="center"/>
          </w:tcPr>
          <w:p>
            <w:pPr>
              <w:widowControl/>
              <w:spacing w:line="240" w:lineRule="exact"/>
              <w:jc w:val="lef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患者住院总费用必须大于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42</w:t>
            </w:r>
          </w:p>
        </w:tc>
        <w:tc>
          <w:tcPr>
            <w:tcW w:w="1134" w:type="dxa"/>
            <w:vMerge w:val="continue"/>
            <w:noWrap/>
            <w:vAlign w:val="center"/>
          </w:tcPr>
          <w:p>
            <w:pPr>
              <w:spacing w:line="240" w:lineRule="exact"/>
              <w:jc w:val="center"/>
              <w:rPr>
                <w:rFonts w:ascii="微软雅黑" w:hAnsi="微软雅黑" w:eastAsia="微软雅黑" w:cs="微软雅黑"/>
                <w:color w:val="000000"/>
                <w:kern w:val="0"/>
                <w:sz w:val="18"/>
                <w:szCs w:val="18"/>
              </w:rPr>
            </w:pPr>
          </w:p>
        </w:tc>
        <w:tc>
          <w:tcPr>
            <w:tcW w:w="1701" w:type="dxa"/>
            <w:vAlign w:val="center"/>
          </w:tcPr>
          <w:p>
            <w:pPr>
              <w:widowControl/>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非手术治疗项目费、临床物</w:t>
            </w:r>
          </w:p>
          <w:p>
            <w:pPr>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kern w:val="0"/>
                <w:sz w:val="18"/>
                <w:szCs w:val="18"/>
              </w:rPr>
              <w:t>理治疗费关系校验</w:t>
            </w:r>
          </w:p>
        </w:tc>
        <w:tc>
          <w:tcPr>
            <w:tcW w:w="5012" w:type="dxa"/>
            <w:noWrap/>
            <w:vAlign w:val="center"/>
          </w:tcPr>
          <w:p>
            <w:pPr>
              <w:widowControl/>
              <w:spacing w:line="240" w:lineRule="exact"/>
              <w:jc w:val="lef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非手术治疗项目费必须大于等于临床物理治疗费。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43</w:t>
            </w:r>
          </w:p>
        </w:tc>
        <w:tc>
          <w:tcPr>
            <w:tcW w:w="1134" w:type="dxa"/>
            <w:vMerge w:val="continue"/>
            <w:noWrap/>
            <w:vAlign w:val="center"/>
          </w:tcPr>
          <w:p>
            <w:pPr>
              <w:spacing w:line="240" w:lineRule="exact"/>
              <w:jc w:val="center"/>
              <w:rPr>
                <w:rFonts w:ascii="微软雅黑" w:hAnsi="微软雅黑" w:eastAsia="微软雅黑" w:cs="微软雅黑"/>
                <w:color w:val="000000"/>
                <w:kern w:val="0"/>
                <w:sz w:val="18"/>
                <w:szCs w:val="18"/>
              </w:rPr>
            </w:pPr>
          </w:p>
        </w:tc>
        <w:tc>
          <w:tcPr>
            <w:tcW w:w="1701" w:type="dxa"/>
            <w:vAlign w:val="center"/>
          </w:tcPr>
          <w:p>
            <w:pPr>
              <w:widowControl/>
              <w:spacing w:line="240" w:lineRule="exact"/>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手术治疗费、麻醉</w:t>
            </w:r>
          </w:p>
          <w:p>
            <w:pPr>
              <w:widowControl/>
              <w:spacing w:line="240" w:lineRule="exac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费、手术费关系校验</w:t>
            </w:r>
          </w:p>
        </w:tc>
        <w:tc>
          <w:tcPr>
            <w:tcW w:w="5012" w:type="dxa"/>
            <w:noWrap/>
            <w:vAlign w:val="center"/>
          </w:tcPr>
          <w:p>
            <w:pPr>
              <w:widowControl/>
              <w:spacing w:line="240" w:lineRule="exact"/>
              <w:jc w:val="lef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手术治疗费必须大于等于麻醉  费与手术费之和。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44</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widowControl/>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西药费与抗菌药物费用关系</w:t>
            </w:r>
          </w:p>
          <w:p>
            <w:pPr>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校验</w:t>
            </w:r>
          </w:p>
        </w:tc>
        <w:tc>
          <w:tcPr>
            <w:tcW w:w="5012" w:type="dxa"/>
            <w:noWrap/>
            <w:vAlign w:val="center"/>
          </w:tcPr>
          <w:p>
            <w:pPr>
              <w:widowControl/>
              <w:spacing w:line="240" w:lineRule="exact"/>
              <w:jc w:val="lef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西药费必须大于等于抗菌药物  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45</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widowControl/>
              <w:spacing w:line="240" w:lineRule="exact"/>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住院总费用与分项</w:t>
            </w:r>
          </w:p>
          <w:p>
            <w:pPr>
              <w:widowControl/>
              <w:spacing w:line="240" w:lineRule="exac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费用之和关系 校验</w:t>
            </w:r>
          </w:p>
        </w:tc>
        <w:tc>
          <w:tcPr>
            <w:tcW w:w="5012" w:type="dxa"/>
            <w:noWrap/>
            <w:vAlign w:val="center"/>
          </w:tcPr>
          <w:p>
            <w:pPr>
              <w:widowControl/>
              <w:spacing w:line="240" w:lineRule="exact"/>
              <w:jc w:val="left"/>
              <w:rPr>
                <w:rFonts w:ascii="微软雅黑" w:hAnsi="微软雅黑" w:eastAsia="微软雅黑" w:cs="微软雅黑"/>
                <w:color w:val="000000"/>
                <w:kern w:val="0"/>
                <w:sz w:val="18"/>
                <w:szCs w:val="18"/>
              </w:rPr>
            </w:pPr>
            <w:r>
              <w:rPr>
                <w:rFonts w:hint="eastAsia" w:ascii="微软雅黑" w:hAnsi="微软雅黑" w:eastAsia="微软雅黑" w:cs="微软雅黑"/>
                <w:kern w:val="0"/>
                <w:sz w:val="18"/>
                <w:szCs w:val="18"/>
              </w:rPr>
              <w:t>治疗类别为“1  西医”时：</w:t>
            </w:r>
            <w:r>
              <w:rPr>
                <w:rFonts w:hint="eastAsia" w:ascii="微软雅黑" w:hAnsi="微软雅黑" w:eastAsia="微软雅黑" w:cs="微软雅黑"/>
                <w:kern w:val="0"/>
                <w:sz w:val="18"/>
                <w:szCs w:val="18"/>
              </w:rPr>
              <w:br w:type="textWrapping"/>
            </w:r>
            <w:r>
              <w:rPr>
                <w:rFonts w:hint="eastAsia" w:ascii="微软雅黑" w:hAnsi="微软雅黑" w:eastAsia="微软雅黑" w:cs="微软雅黑"/>
                <w:kern w:val="0"/>
                <w:sz w:val="18"/>
                <w:szCs w:val="18"/>
              </w:rPr>
              <w:t>1.分项费用全部有值时，住院总费用应等于各分项费用（除自付金额,临床物理治疗费,麻 醉费,手术费,抗菌药物费用外）之和。</w:t>
            </w:r>
            <w:r>
              <w:rPr>
                <w:rFonts w:hint="eastAsia" w:ascii="微软雅黑" w:hAnsi="微软雅黑" w:eastAsia="微软雅黑" w:cs="微软雅黑"/>
                <w:kern w:val="0"/>
                <w:sz w:val="18"/>
                <w:szCs w:val="18"/>
              </w:rPr>
              <w:br w:type="textWrapping"/>
            </w:r>
            <w:r>
              <w:rPr>
                <w:rFonts w:hint="eastAsia" w:ascii="微软雅黑" w:hAnsi="微软雅黑" w:eastAsia="微软雅黑" w:cs="微软雅黑"/>
                <w:kern w:val="0"/>
                <w:sz w:val="18"/>
                <w:szCs w:val="18"/>
              </w:rPr>
              <w:t>2.分项费用部分有值时，住院总  费用应大于等于各分项费用  （除自付金额,临床物理治 疗  费,麻醉费,手术费,抗菌药物费  用外）之和。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46</w:t>
            </w:r>
          </w:p>
        </w:tc>
        <w:tc>
          <w:tcPr>
            <w:tcW w:w="1134" w:type="dxa"/>
            <w:vMerge w:val="continue"/>
            <w:noWrap/>
            <w:vAlign w:val="center"/>
          </w:tcPr>
          <w:p>
            <w:pPr>
              <w:spacing w:line="240" w:lineRule="exact"/>
              <w:jc w:val="center"/>
              <w:rPr>
                <w:rFonts w:ascii="微软雅黑" w:hAnsi="微软雅黑" w:eastAsia="微软雅黑" w:cs="微软雅黑"/>
                <w:kern w:val="0"/>
                <w:sz w:val="18"/>
                <w:szCs w:val="18"/>
              </w:rPr>
            </w:pPr>
          </w:p>
        </w:tc>
        <w:tc>
          <w:tcPr>
            <w:tcW w:w="1701" w:type="dxa"/>
            <w:vAlign w:val="center"/>
          </w:tcPr>
          <w:p>
            <w:pPr>
              <w:widowControl/>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抢救次数与抢救成功次数校验</w:t>
            </w:r>
          </w:p>
        </w:tc>
        <w:tc>
          <w:tcPr>
            <w:tcW w:w="5012" w:type="dxa"/>
            <w:noWrap/>
            <w:vAlign w:val="center"/>
          </w:tcPr>
          <w:p>
            <w:pPr>
              <w:widowControl/>
              <w:spacing w:line="240" w:lineRule="exact"/>
              <w:jc w:val="left"/>
              <w:rPr>
                <w:rFonts w:ascii="微软雅黑" w:hAnsi="微软雅黑" w:eastAsia="微软雅黑" w:cs="微软雅黑"/>
                <w:color w:val="000000"/>
                <w:kern w:val="0"/>
                <w:sz w:val="18"/>
                <w:szCs w:val="18"/>
              </w:rPr>
            </w:pPr>
            <w:r>
              <w:rPr>
                <w:rFonts w:hint="eastAsia" w:ascii="微软雅黑" w:hAnsi="微软雅黑" w:eastAsia="微软雅黑" w:cs="微软雅黑"/>
                <w:kern w:val="0"/>
                <w:sz w:val="18"/>
                <w:szCs w:val="18"/>
              </w:rPr>
              <w:t>抢救次数=抢救成功次数。当出院情况或离院方式为“死亡”，且有无抢救为“2  有”</w:t>
            </w:r>
            <w:r>
              <w:rPr>
                <w:rFonts w:hint="eastAsia" w:ascii="微软雅黑" w:hAnsi="微软雅黑" w:eastAsia="微软雅黑" w:cs="微软雅黑"/>
                <w:kern w:val="0"/>
                <w:sz w:val="18"/>
                <w:szCs w:val="18"/>
              </w:rPr>
              <w:br w:type="textWrapping"/>
            </w:r>
            <w:r>
              <w:rPr>
                <w:rFonts w:hint="eastAsia" w:ascii="微软雅黑" w:hAnsi="微软雅黑" w:eastAsia="微软雅黑" w:cs="微软雅黑"/>
                <w:kern w:val="0"/>
                <w:sz w:val="18"/>
                <w:szCs w:val="18"/>
              </w:rPr>
              <w:t>时：抢救次数=抢救成功次数或抢救成功次数+1。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47</w:t>
            </w:r>
          </w:p>
        </w:tc>
        <w:tc>
          <w:tcPr>
            <w:tcW w:w="1134" w:type="dxa"/>
            <w:vMerge w:val="continue"/>
            <w:noWrap/>
            <w:vAlign w:val="center"/>
          </w:tcPr>
          <w:p>
            <w:pPr>
              <w:widowControl/>
              <w:spacing w:line="240" w:lineRule="exact"/>
              <w:jc w:val="center"/>
              <w:rPr>
                <w:rFonts w:ascii="微软雅黑" w:hAnsi="微软雅黑" w:eastAsia="微软雅黑" w:cs="微软雅黑"/>
                <w:color w:val="000000"/>
                <w:kern w:val="0"/>
                <w:sz w:val="18"/>
                <w:szCs w:val="18"/>
              </w:rPr>
            </w:pPr>
          </w:p>
        </w:tc>
        <w:tc>
          <w:tcPr>
            <w:tcW w:w="1701" w:type="dxa"/>
            <w:vAlign w:val="center"/>
          </w:tcPr>
          <w:p>
            <w:pPr>
              <w:widowControl/>
              <w:spacing w:line="240" w:lineRule="exact"/>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xml:space="preserve">监护室进入时间、  </w:t>
            </w:r>
          </w:p>
          <w:p>
            <w:pPr>
              <w:widowControl/>
              <w:spacing w:line="240" w:lineRule="exac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监护室退出时间关系校验</w:t>
            </w:r>
          </w:p>
        </w:tc>
        <w:tc>
          <w:tcPr>
            <w:tcW w:w="5012" w:type="dxa"/>
            <w:noWrap/>
            <w:vAlign w:val="center"/>
          </w:tcPr>
          <w:p>
            <w:pPr>
              <w:widowControl/>
              <w:spacing w:line="240" w:lineRule="exact"/>
              <w:jc w:val="left"/>
              <w:rPr>
                <w:rFonts w:ascii="微软雅黑" w:hAnsi="微软雅黑" w:eastAsia="微软雅黑" w:cs="微软雅黑"/>
                <w:color w:val="000000"/>
                <w:kern w:val="0"/>
                <w:sz w:val="18"/>
                <w:szCs w:val="18"/>
              </w:rPr>
            </w:pPr>
            <w:r>
              <w:rPr>
                <w:rFonts w:hint="eastAsia" w:ascii="微软雅黑" w:hAnsi="微软雅黑" w:eastAsia="微软雅黑" w:cs="微软雅黑"/>
                <w:kern w:val="0"/>
                <w:sz w:val="18"/>
                <w:szCs w:val="18"/>
              </w:rPr>
              <w:t>当是否入住重症监护病房为“1  是”时，入院日期≤监护室进入时间≤  监护室退出时间≤出院日期。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48</w:t>
            </w:r>
          </w:p>
        </w:tc>
        <w:tc>
          <w:tcPr>
            <w:tcW w:w="1134" w:type="dxa"/>
            <w:vMerge w:val="continue"/>
            <w:noWrap/>
            <w:vAlign w:val="center"/>
          </w:tcPr>
          <w:p>
            <w:pPr>
              <w:widowControl/>
              <w:spacing w:line="240" w:lineRule="exact"/>
              <w:jc w:val="center"/>
              <w:rPr>
                <w:rFonts w:ascii="微软雅黑" w:hAnsi="微软雅黑" w:eastAsia="微软雅黑" w:cs="微软雅黑"/>
                <w:kern w:val="0"/>
                <w:sz w:val="18"/>
                <w:szCs w:val="18"/>
              </w:rPr>
            </w:pPr>
          </w:p>
        </w:tc>
        <w:tc>
          <w:tcPr>
            <w:tcW w:w="1701" w:type="dxa"/>
            <w:vAlign w:val="center"/>
          </w:tcPr>
          <w:p>
            <w:pPr>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疾病诊断代码计数校验</w:t>
            </w:r>
          </w:p>
        </w:tc>
        <w:tc>
          <w:tcPr>
            <w:tcW w:w="5012" w:type="dxa"/>
            <w:noWrap/>
            <w:vAlign w:val="center"/>
          </w:tcPr>
          <w:p>
            <w:pPr>
              <w:widowControl/>
              <w:spacing w:line="240" w:lineRule="exact"/>
              <w:jc w:val="lef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疾病诊断代码计数=已填写的主要诊断与其他诊断编码数量之和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49</w:t>
            </w:r>
          </w:p>
        </w:tc>
        <w:tc>
          <w:tcPr>
            <w:tcW w:w="1134" w:type="dxa"/>
            <w:vMerge w:val="continue"/>
            <w:noWrap/>
            <w:vAlign w:val="center"/>
          </w:tcPr>
          <w:p>
            <w:pPr>
              <w:widowControl/>
              <w:spacing w:line="240" w:lineRule="exact"/>
              <w:jc w:val="center"/>
              <w:rPr>
                <w:rFonts w:ascii="微软雅黑" w:hAnsi="微软雅黑" w:eastAsia="微软雅黑" w:cs="微软雅黑"/>
                <w:kern w:val="0"/>
                <w:sz w:val="18"/>
                <w:szCs w:val="18"/>
              </w:rPr>
            </w:pPr>
          </w:p>
        </w:tc>
        <w:tc>
          <w:tcPr>
            <w:tcW w:w="1701" w:type="dxa"/>
            <w:vAlign w:val="center"/>
          </w:tcPr>
          <w:p>
            <w:pPr>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手术及操作代码计数校验</w:t>
            </w:r>
          </w:p>
        </w:tc>
        <w:tc>
          <w:tcPr>
            <w:tcW w:w="5012" w:type="dxa"/>
            <w:noWrap/>
            <w:vAlign w:val="center"/>
          </w:tcPr>
          <w:p>
            <w:pPr>
              <w:widowControl/>
              <w:spacing w:line="240" w:lineRule="exact"/>
              <w:jc w:val="lef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手术及操作代码计数=已填写的手术及操作编码数量之和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675" w:type="dxa"/>
            <w:noWrap/>
            <w:vAlign w:val="center"/>
          </w:tcPr>
          <w:p>
            <w:pPr>
              <w:widowControl/>
              <w:spacing w:line="240" w:lineRule="exact"/>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50</w:t>
            </w:r>
          </w:p>
        </w:tc>
        <w:tc>
          <w:tcPr>
            <w:tcW w:w="1134" w:type="dxa"/>
            <w:vMerge w:val="continue"/>
            <w:noWrap/>
            <w:vAlign w:val="center"/>
          </w:tcPr>
          <w:p>
            <w:pPr>
              <w:widowControl/>
              <w:spacing w:line="240" w:lineRule="exact"/>
              <w:jc w:val="center"/>
              <w:rPr>
                <w:rFonts w:ascii="微软雅黑" w:hAnsi="微软雅黑" w:eastAsia="微软雅黑" w:cs="微软雅黑"/>
                <w:kern w:val="0"/>
                <w:sz w:val="18"/>
                <w:szCs w:val="18"/>
              </w:rPr>
            </w:pPr>
          </w:p>
        </w:tc>
        <w:tc>
          <w:tcPr>
            <w:tcW w:w="1701" w:type="dxa"/>
            <w:vAlign w:val="center"/>
          </w:tcPr>
          <w:p>
            <w:pPr>
              <w:spacing w:line="240" w:lineRule="exact"/>
              <w:jc w:val="center"/>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不可作为诊断校验</w:t>
            </w:r>
          </w:p>
        </w:tc>
        <w:tc>
          <w:tcPr>
            <w:tcW w:w="5012" w:type="dxa"/>
            <w:noWrap/>
            <w:vAlign w:val="center"/>
          </w:tcPr>
          <w:p>
            <w:pPr>
              <w:widowControl/>
              <w:spacing w:line="240" w:lineRule="exact"/>
              <w:jc w:val="left"/>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“带星号的诊断编码”不能作为诊断上传，只能在医院病案管理中使用</w:t>
            </w:r>
          </w:p>
        </w:tc>
      </w:tr>
    </w:tbl>
    <w:p>
      <w:pPr>
        <w:pStyle w:val="6"/>
        <w:numPr>
          <w:ilvl w:val="0"/>
          <w:numId w:val="5"/>
        </w:numPr>
        <w:rPr>
          <w:rFonts w:hint="eastAsia" w:ascii="Times New Roman" w:hAnsi="Times New Roman" w:eastAsia="宋体" w:cs="Times New Roman"/>
          <w:kern w:val="2"/>
          <w:sz w:val="26"/>
          <w:szCs w:val="26"/>
          <w:lang w:val="en-US" w:eastAsia="zh-CN" w:bidi="ar-SA"/>
        </w:rPr>
      </w:pPr>
      <w:r>
        <w:rPr>
          <w:rFonts w:hint="eastAsia" w:ascii="Times New Roman" w:hAnsi="Times New Roman" w:eastAsia="宋体" w:cs="Times New Roman"/>
          <w:kern w:val="2"/>
          <w:sz w:val="26"/>
          <w:szCs w:val="26"/>
          <w:lang w:val="en-US" w:eastAsia="zh-CN" w:bidi="ar-SA"/>
        </w:rPr>
        <w:t>功能要求</w:t>
      </w:r>
    </w:p>
    <w:tbl>
      <w:tblPr>
        <w:tblStyle w:val="9"/>
        <w:tblW w:w="7510" w:type="dxa"/>
        <w:jc w:val="center"/>
        <w:tblLayout w:type="fixed"/>
        <w:tblCellMar>
          <w:top w:w="15" w:type="dxa"/>
          <w:left w:w="15" w:type="dxa"/>
          <w:bottom w:w="15" w:type="dxa"/>
          <w:right w:w="15" w:type="dxa"/>
        </w:tblCellMar>
      </w:tblPr>
      <w:tblGrid>
        <w:gridCol w:w="710"/>
        <w:gridCol w:w="2648"/>
        <w:gridCol w:w="4152"/>
      </w:tblGrid>
      <w:tr>
        <w:tblPrEx>
          <w:tblCellMar>
            <w:top w:w="15" w:type="dxa"/>
            <w:left w:w="15" w:type="dxa"/>
            <w:bottom w:w="15" w:type="dxa"/>
            <w:right w:w="15" w:type="dxa"/>
          </w:tblCellMar>
        </w:tblPrEx>
        <w:trPr>
          <w:trHeight w:val="33"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宋体" w:hAnsi="宋体"/>
                <w:b/>
                <w:bCs/>
                <w:color w:val="000000"/>
                <w:szCs w:val="21"/>
              </w:rPr>
            </w:pPr>
            <w:r>
              <w:rPr>
                <w:rFonts w:hint="eastAsia" w:ascii="宋体" w:hAnsi="宋体" w:cs="宋体"/>
                <w:b/>
                <w:bCs/>
                <w:color w:val="000000"/>
                <w:kern w:val="0"/>
                <w:szCs w:val="21"/>
              </w:rPr>
              <w:t>序号</w:t>
            </w:r>
          </w:p>
        </w:tc>
        <w:tc>
          <w:tcPr>
            <w:tcW w:w="26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宋体" w:hAnsi="宋体"/>
                <w:b/>
                <w:bCs/>
                <w:color w:val="000000"/>
                <w:szCs w:val="21"/>
              </w:rPr>
            </w:pPr>
            <w:r>
              <w:rPr>
                <w:rFonts w:hint="eastAsia" w:ascii="宋体" w:hAnsi="宋体" w:cs="宋体"/>
                <w:b/>
                <w:bCs/>
                <w:color w:val="000000"/>
                <w:kern w:val="0"/>
                <w:szCs w:val="21"/>
              </w:rPr>
              <w:t>功能模块</w:t>
            </w:r>
          </w:p>
        </w:tc>
        <w:tc>
          <w:tcPr>
            <w:tcW w:w="41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宋体" w:hAnsi="宋体"/>
                <w:b/>
                <w:bCs/>
                <w:color w:val="000000"/>
                <w:szCs w:val="21"/>
              </w:rPr>
            </w:pPr>
            <w:r>
              <w:rPr>
                <w:rFonts w:hint="eastAsia" w:ascii="宋体" w:hAnsi="宋体" w:cs="宋体"/>
                <w:b/>
                <w:bCs/>
                <w:color w:val="000000"/>
                <w:kern w:val="0"/>
                <w:szCs w:val="21"/>
              </w:rPr>
              <w:t>功能描述</w:t>
            </w:r>
          </w:p>
        </w:tc>
      </w:tr>
      <w:tr>
        <w:tblPrEx>
          <w:tblCellMar>
            <w:top w:w="15" w:type="dxa"/>
            <w:left w:w="15" w:type="dxa"/>
            <w:bottom w:w="15" w:type="dxa"/>
            <w:right w:w="15" w:type="dxa"/>
          </w:tblCellMar>
        </w:tblPrEx>
        <w:trPr>
          <w:trHeight w:val="33"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宋体" w:hAnsi="宋体"/>
                <w:color w:val="000000"/>
                <w:szCs w:val="21"/>
              </w:rPr>
            </w:pPr>
            <w:r>
              <w:rPr>
                <w:rFonts w:ascii="宋体" w:hAnsi="宋体" w:cs="宋体"/>
                <w:color w:val="000000"/>
                <w:kern w:val="0"/>
                <w:szCs w:val="21"/>
              </w:rPr>
              <w:t>1</w:t>
            </w:r>
          </w:p>
        </w:tc>
        <w:tc>
          <w:tcPr>
            <w:tcW w:w="26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宋体" w:hAnsi="宋体"/>
                <w:color w:val="000000"/>
                <w:szCs w:val="21"/>
              </w:rPr>
            </w:pPr>
            <w:r>
              <w:rPr>
                <w:rFonts w:hint="eastAsia" w:ascii="宋体" w:hAnsi="宋体" w:cs="宋体"/>
                <w:color w:val="000000"/>
                <w:kern w:val="0"/>
                <w:szCs w:val="21"/>
              </w:rPr>
              <w:t>疾病代码对照</w:t>
            </w:r>
          </w:p>
        </w:tc>
        <w:tc>
          <w:tcPr>
            <w:tcW w:w="41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宋体" w:hAnsi="宋体"/>
                <w:color w:val="000000"/>
                <w:szCs w:val="21"/>
              </w:rPr>
            </w:pPr>
            <w:r>
              <w:rPr>
                <w:rFonts w:hint="eastAsia" w:ascii="宋体" w:hAnsi="宋体" w:cs="宋体"/>
                <w:color w:val="000000"/>
                <w:kern w:val="0"/>
                <w:szCs w:val="21"/>
              </w:rPr>
              <w:t>根据智慧医保代码值域校验</w:t>
            </w:r>
          </w:p>
        </w:tc>
      </w:tr>
      <w:tr>
        <w:tblPrEx>
          <w:tblCellMar>
            <w:top w:w="15" w:type="dxa"/>
            <w:left w:w="15" w:type="dxa"/>
            <w:bottom w:w="15" w:type="dxa"/>
            <w:right w:w="15" w:type="dxa"/>
          </w:tblCellMar>
        </w:tblPrEx>
        <w:trPr>
          <w:trHeight w:val="33"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宋体" w:hAnsi="宋体"/>
                <w:color w:val="000000"/>
                <w:szCs w:val="21"/>
              </w:rPr>
            </w:pPr>
            <w:r>
              <w:rPr>
                <w:rFonts w:hint="eastAsia" w:ascii="宋体" w:hAnsi="宋体" w:cs="宋体"/>
                <w:color w:val="000000"/>
                <w:kern w:val="0"/>
                <w:szCs w:val="21"/>
              </w:rPr>
              <w:t>2</w:t>
            </w:r>
          </w:p>
        </w:tc>
        <w:tc>
          <w:tcPr>
            <w:tcW w:w="26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宋体" w:hAnsi="宋体"/>
                <w:color w:val="000000"/>
                <w:szCs w:val="21"/>
              </w:rPr>
            </w:pPr>
            <w:r>
              <w:rPr>
                <w:rFonts w:hint="eastAsia" w:ascii="宋体" w:hAnsi="宋体" w:cs="宋体"/>
                <w:color w:val="000000"/>
                <w:kern w:val="0"/>
                <w:szCs w:val="21"/>
              </w:rPr>
              <w:t>手术代码对照</w:t>
            </w:r>
          </w:p>
        </w:tc>
        <w:tc>
          <w:tcPr>
            <w:tcW w:w="41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宋体" w:hAnsi="宋体"/>
                <w:color w:val="000000"/>
                <w:szCs w:val="21"/>
              </w:rPr>
            </w:pPr>
            <w:r>
              <w:rPr>
                <w:rFonts w:hint="eastAsia" w:ascii="宋体" w:hAnsi="宋体" w:cs="宋体"/>
                <w:color w:val="000000"/>
                <w:kern w:val="0"/>
                <w:szCs w:val="21"/>
              </w:rPr>
              <w:t>根据智慧医保代码值域校验</w:t>
            </w:r>
          </w:p>
        </w:tc>
      </w:tr>
      <w:tr>
        <w:tblPrEx>
          <w:tblCellMar>
            <w:top w:w="15" w:type="dxa"/>
            <w:left w:w="15" w:type="dxa"/>
            <w:bottom w:w="15" w:type="dxa"/>
            <w:right w:w="15" w:type="dxa"/>
          </w:tblCellMar>
        </w:tblPrEx>
        <w:trPr>
          <w:trHeight w:val="35"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宋体" w:hAnsi="宋体"/>
                <w:color w:val="000000"/>
                <w:szCs w:val="21"/>
              </w:rPr>
            </w:pPr>
            <w:r>
              <w:rPr>
                <w:rFonts w:hint="eastAsia" w:ascii="宋体" w:hAnsi="宋体" w:cs="宋体"/>
                <w:color w:val="000000"/>
                <w:kern w:val="0"/>
                <w:szCs w:val="21"/>
              </w:rPr>
              <w:t>3</w:t>
            </w:r>
          </w:p>
        </w:tc>
        <w:tc>
          <w:tcPr>
            <w:tcW w:w="26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宋体" w:hAnsi="宋体"/>
                <w:color w:val="000000"/>
                <w:szCs w:val="21"/>
              </w:rPr>
            </w:pPr>
            <w:r>
              <w:rPr>
                <w:rFonts w:hint="eastAsia" w:ascii="宋体" w:hAnsi="宋体" w:cs="宋体"/>
                <w:color w:val="000000"/>
                <w:kern w:val="0"/>
                <w:szCs w:val="21"/>
              </w:rPr>
              <w:t>麻醉代码对照</w:t>
            </w:r>
          </w:p>
        </w:tc>
        <w:tc>
          <w:tcPr>
            <w:tcW w:w="41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ascii="宋体" w:hAnsi="宋体"/>
                <w:color w:val="000000"/>
                <w:szCs w:val="21"/>
              </w:rPr>
            </w:pPr>
            <w:r>
              <w:rPr>
                <w:rFonts w:hint="eastAsia" w:ascii="宋体" w:hAnsi="宋体" w:cs="宋体"/>
                <w:color w:val="000000"/>
                <w:kern w:val="0"/>
                <w:szCs w:val="21"/>
              </w:rPr>
              <w:t>根据智慧医保代码值域校验</w:t>
            </w:r>
          </w:p>
        </w:tc>
      </w:tr>
      <w:tr>
        <w:tblPrEx>
          <w:tblCellMar>
            <w:top w:w="15" w:type="dxa"/>
            <w:left w:w="15" w:type="dxa"/>
            <w:bottom w:w="15" w:type="dxa"/>
            <w:right w:w="15" w:type="dxa"/>
          </w:tblCellMar>
        </w:tblPrEx>
        <w:trPr>
          <w:trHeight w:val="30"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宋体" w:hAnsi="宋体"/>
                <w:color w:val="000000"/>
                <w:szCs w:val="21"/>
              </w:rPr>
            </w:pPr>
            <w:r>
              <w:rPr>
                <w:rFonts w:hint="eastAsia" w:ascii="宋体" w:hAnsi="宋体" w:cs="宋体"/>
                <w:color w:val="000000"/>
                <w:kern w:val="0"/>
                <w:szCs w:val="21"/>
              </w:rPr>
              <w:t>4</w:t>
            </w:r>
          </w:p>
        </w:tc>
        <w:tc>
          <w:tcPr>
            <w:tcW w:w="26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宋体" w:hAnsi="宋体"/>
                <w:color w:val="000000"/>
                <w:szCs w:val="21"/>
              </w:rPr>
            </w:pPr>
            <w:r>
              <w:rPr>
                <w:rFonts w:hint="eastAsia" w:ascii="宋体" w:hAnsi="宋体" w:cs="宋体"/>
                <w:color w:val="000000"/>
                <w:kern w:val="0"/>
                <w:szCs w:val="21"/>
              </w:rPr>
              <w:t>职工国码对照</w:t>
            </w:r>
          </w:p>
        </w:tc>
        <w:tc>
          <w:tcPr>
            <w:tcW w:w="41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ascii="宋体" w:hAnsi="宋体"/>
                <w:color w:val="000000"/>
                <w:szCs w:val="21"/>
              </w:rPr>
            </w:pPr>
            <w:r>
              <w:rPr>
                <w:rFonts w:hint="eastAsia" w:ascii="宋体" w:hAnsi="宋体" w:cs="宋体"/>
                <w:color w:val="000000"/>
                <w:kern w:val="0"/>
                <w:szCs w:val="21"/>
              </w:rPr>
              <w:t>根据智慧医保代码值域校验</w:t>
            </w:r>
          </w:p>
        </w:tc>
      </w:tr>
      <w:tr>
        <w:tblPrEx>
          <w:tblCellMar>
            <w:top w:w="15" w:type="dxa"/>
            <w:left w:w="15" w:type="dxa"/>
            <w:bottom w:w="15" w:type="dxa"/>
            <w:right w:w="15" w:type="dxa"/>
          </w:tblCellMar>
        </w:tblPrEx>
        <w:trPr>
          <w:trHeight w:val="33"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宋体" w:hAnsi="宋体"/>
                <w:color w:val="000000"/>
                <w:szCs w:val="21"/>
              </w:rPr>
            </w:pPr>
            <w:r>
              <w:rPr>
                <w:rFonts w:hint="eastAsia" w:ascii="宋体" w:hAnsi="宋体" w:cs="宋体"/>
                <w:color w:val="000000"/>
                <w:kern w:val="0"/>
                <w:szCs w:val="21"/>
              </w:rPr>
              <w:t>5</w:t>
            </w:r>
          </w:p>
        </w:tc>
        <w:tc>
          <w:tcPr>
            <w:tcW w:w="26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宋体" w:hAnsi="宋体"/>
                <w:color w:val="000000"/>
                <w:szCs w:val="21"/>
              </w:rPr>
            </w:pPr>
            <w:r>
              <w:rPr>
                <w:rFonts w:hint="eastAsia" w:ascii="宋体" w:hAnsi="宋体" w:cs="宋体"/>
                <w:color w:val="000000"/>
                <w:kern w:val="0"/>
                <w:szCs w:val="21"/>
              </w:rPr>
              <w:t>过敏药物对照</w:t>
            </w:r>
          </w:p>
        </w:tc>
        <w:tc>
          <w:tcPr>
            <w:tcW w:w="41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ascii="宋体" w:hAnsi="宋体"/>
                <w:color w:val="000000"/>
                <w:szCs w:val="21"/>
              </w:rPr>
            </w:pPr>
            <w:r>
              <w:rPr>
                <w:rFonts w:hint="eastAsia" w:ascii="宋体" w:hAnsi="宋体" w:cs="宋体"/>
                <w:color w:val="000000"/>
                <w:kern w:val="0"/>
                <w:szCs w:val="21"/>
              </w:rPr>
              <w:t>根据智慧医保代码值域校验</w:t>
            </w:r>
          </w:p>
        </w:tc>
      </w:tr>
      <w:tr>
        <w:tblPrEx>
          <w:tblCellMar>
            <w:top w:w="15" w:type="dxa"/>
            <w:left w:w="15" w:type="dxa"/>
            <w:bottom w:w="15" w:type="dxa"/>
            <w:right w:w="15" w:type="dxa"/>
          </w:tblCellMar>
        </w:tblPrEx>
        <w:trPr>
          <w:trHeight w:val="33"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宋体" w:hAnsi="宋体"/>
                <w:color w:val="000000"/>
                <w:szCs w:val="21"/>
              </w:rPr>
            </w:pPr>
            <w:r>
              <w:rPr>
                <w:rFonts w:hint="eastAsia" w:ascii="宋体" w:hAnsi="宋体" w:cs="宋体"/>
                <w:color w:val="000000"/>
                <w:kern w:val="0"/>
                <w:szCs w:val="21"/>
              </w:rPr>
              <w:t>6</w:t>
            </w:r>
          </w:p>
        </w:tc>
        <w:tc>
          <w:tcPr>
            <w:tcW w:w="26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宋体" w:hAnsi="宋体"/>
                <w:color w:val="000000"/>
                <w:szCs w:val="21"/>
              </w:rPr>
            </w:pPr>
            <w:r>
              <w:rPr>
                <w:rFonts w:hint="eastAsia" w:ascii="宋体" w:hAnsi="宋体" w:cs="宋体"/>
                <w:color w:val="000000"/>
                <w:kern w:val="0"/>
                <w:szCs w:val="21"/>
              </w:rPr>
              <w:t>国际对照</w:t>
            </w:r>
          </w:p>
        </w:tc>
        <w:tc>
          <w:tcPr>
            <w:tcW w:w="41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ascii="宋体" w:hAnsi="宋体"/>
                <w:color w:val="000000"/>
                <w:szCs w:val="21"/>
              </w:rPr>
            </w:pPr>
            <w:r>
              <w:rPr>
                <w:rFonts w:hint="eastAsia" w:ascii="宋体" w:hAnsi="宋体" w:cs="宋体"/>
                <w:color w:val="000000"/>
                <w:kern w:val="0"/>
                <w:szCs w:val="21"/>
              </w:rPr>
              <w:t>根据智慧医保代码值域校验</w:t>
            </w:r>
          </w:p>
        </w:tc>
      </w:tr>
      <w:tr>
        <w:tblPrEx>
          <w:tblCellMar>
            <w:top w:w="15" w:type="dxa"/>
            <w:left w:w="15" w:type="dxa"/>
            <w:bottom w:w="15" w:type="dxa"/>
            <w:right w:w="15" w:type="dxa"/>
          </w:tblCellMar>
        </w:tblPrEx>
        <w:trPr>
          <w:trHeight w:val="33"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宋体" w:hAnsi="宋体"/>
                <w:color w:val="000000"/>
                <w:szCs w:val="21"/>
              </w:rPr>
            </w:pPr>
            <w:r>
              <w:rPr>
                <w:rFonts w:hint="eastAsia" w:ascii="宋体" w:hAnsi="宋体" w:cs="宋体"/>
                <w:color w:val="000000"/>
                <w:kern w:val="0"/>
                <w:szCs w:val="21"/>
              </w:rPr>
              <w:t>7</w:t>
            </w:r>
          </w:p>
        </w:tc>
        <w:tc>
          <w:tcPr>
            <w:tcW w:w="26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宋体" w:hAnsi="宋体"/>
                <w:color w:val="000000"/>
                <w:szCs w:val="21"/>
              </w:rPr>
            </w:pPr>
            <w:r>
              <w:rPr>
                <w:rFonts w:hint="eastAsia" w:ascii="宋体" w:hAnsi="宋体" w:cs="宋体"/>
                <w:color w:val="000000"/>
                <w:kern w:val="0"/>
                <w:szCs w:val="21"/>
              </w:rPr>
              <w:t>民族对照</w:t>
            </w:r>
          </w:p>
        </w:tc>
        <w:tc>
          <w:tcPr>
            <w:tcW w:w="41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ascii="宋体" w:hAnsi="宋体"/>
                <w:color w:val="000000"/>
                <w:szCs w:val="21"/>
              </w:rPr>
            </w:pPr>
            <w:r>
              <w:rPr>
                <w:rFonts w:hint="eastAsia" w:ascii="宋体" w:hAnsi="宋体" w:cs="宋体"/>
                <w:color w:val="000000"/>
                <w:kern w:val="0"/>
                <w:szCs w:val="21"/>
              </w:rPr>
              <w:t>根据智慧医保代码值域校验</w:t>
            </w:r>
          </w:p>
        </w:tc>
      </w:tr>
      <w:tr>
        <w:tblPrEx>
          <w:tblCellMar>
            <w:top w:w="15" w:type="dxa"/>
            <w:left w:w="15" w:type="dxa"/>
            <w:bottom w:w="15" w:type="dxa"/>
            <w:right w:w="15" w:type="dxa"/>
          </w:tblCellMar>
        </w:tblPrEx>
        <w:trPr>
          <w:trHeight w:val="33"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rPr>
              <w:t>8</w:t>
            </w:r>
          </w:p>
        </w:tc>
        <w:tc>
          <w:tcPr>
            <w:tcW w:w="26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rPr>
              <w:t>职业对照</w:t>
            </w:r>
          </w:p>
        </w:tc>
        <w:tc>
          <w:tcPr>
            <w:tcW w:w="41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hint="eastAsia" w:ascii="宋体" w:hAnsi="宋体"/>
                <w:color w:val="000000"/>
                <w:szCs w:val="21"/>
              </w:rPr>
            </w:pPr>
            <w:r>
              <w:rPr>
                <w:rFonts w:hint="eastAsia" w:ascii="宋体" w:hAnsi="宋体" w:cs="宋体"/>
                <w:color w:val="000000"/>
                <w:kern w:val="0"/>
                <w:szCs w:val="21"/>
              </w:rPr>
              <w:t>根据智慧医保代码值域校验</w:t>
            </w:r>
          </w:p>
        </w:tc>
      </w:tr>
      <w:tr>
        <w:tblPrEx>
          <w:tblCellMar>
            <w:top w:w="15" w:type="dxa"/>
            <w:left w:w="15" w:type="dxa"/>
            <w:bottom w:w="15" w:type="dxa"/>
            <w:right w:w="15" w:type="dxa"/>
          </w:tblCellMar>
        </w:tblPrEx>
        <w:trPr>
          <w:trHeight w:val="33"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rPr>
              <w:t>9</w:t>
            </w:r>
          </w:p>
        </w:tc>
        <w:tc>
          <w:tcPr>
            <w:tcW w:w="26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rPr>
              <w:t>关系对照</w:t>
            </w:r>
          </w:p>
        </w:tc>
        <w:tc>
          <w:tcPr>
            <w:tcW w:w="41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hint="eastAsia" w:ascii="宋体" w:hAnsi="宋体"/>
                <w:color w:val="000000"/>
                <w:szCs w:val="21"/>
              </w:rPr>
            </w:pPr>
            <w:r>
              <w:rPr>
                <w:rFonts w:hint="eastAsia" w:ascii="宋体" w:hAnsi="宋体" w:cs="宋体"/>
                <w:color w:val="000000"/>
                <w:kern w:val="0"/>
                <w:szCs w:val="21"/>
              </w:rPr>
              <w:t>根据智慧医保代码值域校验</w:t>
            </w:r>
          </w:p>
        </w:tc>
      </w:tr>
      <w:tr>
        <w:tblPrEx>
          <w:tblCellMar>
            <w:top w:w="15" w:type="dxa"/>
            <w:left w:w="15" w:type="dxa"/>
            <w:bottom w:w="15" w:type="dxa"/>
            <w:right w:w="15" w:type="dxa"/>
          </w:tblCellMar>
        </w:tblPrEx>
        <w:trPr>
          <w:trHeight w:val="33"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rPr>
              <w:t>10</w:t>
            </w:r>
          </w:p>
        </w:tc>
        <w:tc>
          <w:tcPr>
            <w:tcW w:w="26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rPr>
              <w:t>科室对照</w:t>
            </w:r>
          </w:p>
        </w:tc>
        <w:tc>
          <w:tcPr>
            <w:tcW w:w="41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hint="eastAsia" w:ascii="宋体" w:hAnsi="宋体"/>
                <w:color w:val="000000"/>
                <w:szCs w:val="21"/>
              </w:rPr>
            </w:pPr>
            <w:r>
              <w:rPr>
                <w:rFonts w:hint="eastAsia" w:ascii="宋体" w:hAnsi="宋体" w:cs="宋体"/>
                <w:color w:val="000000"/>
                <w:kern w:val="0"/>
                <w:szCs w:val="21"/>
              </w:rPr>
              <w:t>根据智慧医保代码值域校验</w:t>
            </w:r>
          </w:p>
        </w:tc>
      </w:tr>
      <w:tr>
        <w:tblPrEx>
          <w:tblCellMar>
            <w:top w:w="15" w:type="dxa"/>
            <w:left w:w="15" w:type="dxa"/>
            <w:bottom w:w="15" w:type="dxa"/>
            <w:right w:w="15" w:type="dxa"/>
          </w:tblCellMar>
        </w:tblPrEx>
        <w:trPr>
          <w:trHeight w:val="33"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rPr>
              <w:t>11</w:t>
            </w:r>
          </w:p>
        </w:tc>
        <w:tc>
          <w:tcPr>
            <w:tcW w:w="26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rPr>
              <w:t>无效主诊断校验\维护</w:t>
            </w:r>
          </w:p>
        </w:tc>
        <w:tc>
          <w:tcPr>
            <w:tcW w:w="41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szCs w:val="21"/>
              </w:rPr>
              <w:t>无效主诊断逻辑校验</w:t>
            </w:r>
          </w:p>
        </w:tc>
      </w:tr>
      <w:tr>
        <w:tblPrEx>
          <w:tblCellMar>
            <w:top w:w="15" w:type="dxa"/>
            <w:left w:w="15" w:type="dxa"/>
            <w:bottom w:w="15" w:type="dxa"/>
            <w:right w:w="15" w:type="dxa"/>
          </w:tblCellMar>
        </w:tblPrEx>
        <w:trPr>
          <w:trHeight w:val="33"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rPr>
              <w:t>12</w:t>
            </w:r>
          </w:p>
        </w:tc>
        <w:tc>
          <w:tcPr>
            <w:tcW w:w="26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rPr>
              <w:t>手术无法入组校验\维护</w:t>
            </w:r>
          </w:p>
        </w:tc>
        <w:tc>
          <w:tcPr>
            <w:tcW w:w="41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szCs w:val="21"/>
              </w:rPr>
              <w:t>无效主手术逻辑校验</w:t>
            </w:r>
          </w:p>
        </w:tc>
      </w:tr>
      <w:tr>
        <w:tblPrEx>
          <w:tblCellMar>
            <w:top w:w="15" w:type="dxa"/>
            <w:left w:w="15" w:type="dxa"/>
            <w:bottom w:w="15" w:type="dxa"/>
            <w:right w:w="15" w:type="dxa"/>
          </w:tblCellMar>
        </w:tblPrEx>
        <w:trPr>
          <w:trHeight w:val="33"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rPr>
              <w:t>13</w:t>
            </w:r>
          </w:p>
        </w:tc>
        <w:tc>
          <w:tcPr>
            <w:tcW w:w="26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rPr>
              <w:t>4101A结算清单上传</w:t>
            </w:r>
          </w:p>
        </w:tc>
        <w:tc>
          <w:tcPr>
            <w:tcW w:w="41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hint="eastAsia" w:ascii="宋体" w:hAnsi="宋体"/>
                <w:color w:val="000000"/>
                <w:szCs w:val="21"/>
              </w:rPr>
            </w:pPr>
          </w:p>
        </w:tc>
      </w:tr>
      <w:tr>
        <w:tblPrEx>
          <w:tblCellMar>
            <w:top w:w="15" w:type="dxa"/>
            <w:left w:w="15" w:type="dxa"/>
            <w:bottom w:w="15" w:type="dxa"/>
            <w:right w:w="15" w:type="dxa"/>
          </w:tblCellMar>
        </w:tblPrEx>
        <w:trPr>
          <w:trHeight w:val="33"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rPr>
              <w:t>14</w:t>
            </w:r>
          </w:p>
        </w:tc>
        <w:tc>
          <w:tcPr>
            <w:tcW w:w="26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rPr>
              <w:t>4401住院病案首页上传</w:t>
            </w:r>
          </w:p>
        </w:tc>
        <w:tc>
          <w:tcPr>
            <w:tcW w:w="41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hint="eastAsia" w:ascii="宋体" w:hAnsi="宋体"/>
                <w:color w:val="000000"/>
                <w:szCs w:val="21"/>
              </w:rPr>
            </w:pPr>
          </w:p>
        </w:tc>
      </w:tr>
    </w:tbl>
    <w:p>
      <w:pPr>
        <w:numPr>
          <w:ilvl w:val="0"/>
          <w:numId w:val="0"/>
        </w:numPr>
        <w:rPr>
          <w:rFonts w:hint="default"/>
          <w:lang w:val="en-US" w:eastAsia="zh-CN"/>
        </w:rPr>
      </w:pPr>
    </w:p>
    <w:p>
      <w:pPr>
        <w:numPr>
          <w:ilvl w:val="0"/>
          <w:numId w:val="0"/>
        </w:numPr>
        <w:rPr>
          <w:b/>
          <w:bCs/>
        </w:rPr>
      </w:pPr>
      <w:r>
        <w:rPr>
          <w:rFonts w:hint="eastAsia"/>
          <w:b/>
          <w:bCs/>
          <w:lang w:val="en-US" w:eastAsia="zh-CN"/>
        </w:rPr>
        <w:t>四、</w:t>
      </w:r>
      <w:r>
        <w:rPr>
          <w:rFonts w:hint="eastAsia"/>
          <w:b/>
          <w:bCs/>
        </w:rPr>
        <w:t>项目总体技术要求及商务要求</w:t>
      </w:r>
    </w:p>
    <w:p>
      <w:pPr>
        <w:numPr>
          <w:ilvl w:val="0"/>
          <w:numId w:val="6"/>
        </w:numPr>
        <w:rPr>
          <w:b/>
          <w:bCs/>
        </w:rPr>
      </w:pPr>
      <w:r>
        <w:rPr>
          <w:rFonts w:hint="eastAsia"/>
          <w:b/>
          <w:bCs/>
        </w:rPr>
        <w:t>总体技术要求</w:t>
      </w:r>
    </w:p>
    <w:p>
      <w:r>
        <w:rPr>
          <w:rFonts w:hint="eastAsia" w:ascii="宋体" w:hAnsi="宋体" w:cs="宋体"/>
          <w:color w:val="000000"/>
          <w:szCs w:val="21"/>
        </w:rPr>
        <w:t>★1.</w:t>
      </w:r>
      <w:r>
        <w:rPr>
          <w:rFonts w:hint="eastAsia"/>
        </w:rPr>
        <w:t>中标</w:t>
      </w:r>
      <w:r>
        <w:rPr>
          <w:rFonts w:hint="eastAsia"/>
          <w:lang w:val="en-US" w:eastAsia="zh-CN"/>
        </w:rPr>
        <w:t>后两</w:t>
      </w:r>
      <w:r>
        <w:rPr>
          <w:rFonts w:hint="eastAsia"/>
        </w:rPr>
        <w:t>周内</w:t>
      </w:r>
      <w:r>
        <w:rPr>
          <w:rFonts w:hint="eastAsia"/>
          <w:lang w:val="en-US" w:eastAsia="zh-CN"/>
        </w:rPr>
        <w:t>完成软件</w:t>
      </w:r>
      <w:r>
        <w:rPr>
          <w:rFonts w:hint="eastAsia"/>
        </w:rPr>
        <w:t>安装</w:t>
      </w:r>
      <w:r>
        <w:rPr>
          <w:rFonts w:hint="eastAsia"/>
          <w:lang w:val="en-US" w:eastAsia="zh-CN"/>
        </w:rPr>
        <w:t>部署</w:t>
      </w:r>
      <w:r>
        <w:rPr>
          <w:rFonts w:hint="eastAsia"/>
        </w:rPr>
        <w:t>，不满足功能则做废标处理。</w:t>
      </w:r>
    </w:p>
    <w:p>
      <w:pPr>
        <w:rPr>
          <w:rFonts w:hint="default"/>
          <w:lang w:val="en-US"/>
        </w:rPr>
      </w:pPr>
      <w:r>
        <w:rPr>
          <w:rFonts w:hint="eastAsia" w:ascii="宋体" w:hAnsi="宋体" w:cs="宋体"/>
          <w:color w:val="000000"/>
          <w:szCs w:val="21"/>
        </w:rPr>
        <w:t>★</w:t>
      </w:r>
      <w:r>
        <w:rPr>
          <w:rFonts w:hint="eastAsia" w:ascii="宋体" w:hAnsi="宋体" w:cs="宋体"/>
          <w:color w:val="000000"/>
          <w:szCs w:val="21"/>
          <w:lang w:val="en-US" w:eastAsia="zh-CN"/>
        </w:rPr>
        <w:t>2</w:t>
      </w:r>
      <w:r>
        <w:rPr>
          <w:rFonts w:hint="eastAsia" w:ascii="宋体" w:hAnsi="宋体" w:cs="宋体"/>
          <w:color w:val="000000"/>
          <w:szCs w:val="21"/>
        </w:rPr>
        <w:t>.</w:t>
      </w:r>
      <w:r>
        <w:rPr>
          <w:rFonts w:hint="eastAsia" w:ascii="宋体" w:hAnsi="宋体" w:cs="宋体"/>
          <w:color w:val="000000"/>
          <w:szCs w:val="21"/>
          <w:lang w:val="en-US" w:eastAsia="zh-CN"/>
        </w:rPr>
        <w:t>提供一年免费</w:t>
      </w:r>
      <w:bookmarkStart w:id="0" w:name="_GoBack"/>
      <w:bookmarkEnd w:id="0"/>
      <w:r>
        <w:rPr>
          <w:rFonts w:hint="eastAsia" w:ascii="宋体" w:hAnsi="宋体" w:cs="宋体"/>
          <w:color w:val="000000"/>
          <w:szCs w:val="21"/>
          <w:lang w:val="en-US" w:eastAsia="zh-CN"/>
        </w:rPr>
        <w:t>维保，包含接口标准变更等内容，保证软件正常运行。</w:t>
      </w:r>
    </w:p>
    <w:p>
      <w:pPr>
        <w:rPr>
          <w:b/>
          <w:bCs/>
        </w:rPr>
      </w:pPr>
      <w:r>
        <w:rPr>
          <w:rFonts w:hint="eastAsia" w:ascii="宋体" w:hAnsi="宋体" w:eastAsia="宋体" w:cs="宋体"/>
          <w:color w:val="000000"/>
          <w:szCs w:val="21"/>
        </w:rPr>
        <w:t>★</w:t>
      </w:r>
      <w:r>
        <w:rPr>
          <w:rFonts w:hint="eastAsia" w:ascii="宋体" w:hAnsi="宋体" w:cs="宋体"/>
          <w:color w:val="000000"/>
          <w:szCs w:val="21"/>
          <w:lang w:val="en-US" w:eastAsia="zh-CN"/>
        </w:rPr>
        <w:t>4.</w:t>
      </w:r>
      <w:r>
        <w:rPr>
          <w:rFonts w:hint="eastAsia"/>
        </w:rPr>
        <w:t>做好</w:t>
      </w:r>
      <w:r>
        <w:rPr>
          <w:rFonts w:hint="eastAsia"/>
          <w:lang w:val="en-US" w:eastAsia="zh-CN"/>
        </w:rPr>
        <w:t>系统使用人员、</w:t>
      </w:r>
      <w:r>
        <w:rPr>
          <w:rFonts w:hint="eastAsia"/>
        </w:rPr>
        <w:t>信息技术人员的培训工作，</w:t>
      </w:r>
      <w:r>
        <w:rPr>
          <w:rFonts w:hint="eastAsia"/>
          <w:lang w:val="en-US" w:eastAsia="zh-CN"/>
        </w:rPr>
        <w:t>保证操作人员熟练使用该系统完成医保结算清单上报并提供详细的操作手册。</w:t>
      </w:r>
    </w:p>
    <w:p>
      <w:pPr>
        <w:numPr>
          <w:ilvl w:val="0"/>
          <w:numId w:val="6"/>
        </w:numPr>
        <w:rPr>
          <w:b/>
          <w:bCs/>
        </w:rPr>
      </w:pPr>
      <w:r>
        <w:rPr>
          <w:rFonts w:hint="eastAsia"/>
          <w:b/>
          <w:bCs/>
        </w:rPr>
        <w:t>商务资质要求</w:t>
      </w:r>
    </w:p>
    <w:p>
      <w:pPr>
        <w:rPr>
          <w:rFonts w:hint="eastAsia" w:ascii="宋体" w:hAnsi="宋体" w:eastAsia="宋体" w:cs="宋体"/>
          <w:b w:val="0"/>
          <w:bCs w:val="0"/>
          <w:color w:val="auto"/>
        </w:rPr>
      </w:pPr>
      <w:r>
        <w:rPr>
          <w:rFonts w:hint="eastAsia" w:ascii="宋体" w:hAnsi="宋体" w:eastAsia="宋体" w:cs="宋体"/>
          <w:b w:val="0"/>
          <w:bCs w:val="0"/>
          <w:color w:val="auto"/>
        </w:rPr>
        <w:t>付款方式：软件部署</w:t>
      </w:r>
      <w:r>
        <w:rPr>
          <w:rFonts w:hint="eastAsia" w:ascii="宋体" w:hAnsi="宋体" w:cs="宋体"/>
          <w:b w:val="0"/>
          <w:bCs w:val="0"/>
          <w:color w:val="auto"/>
          <w:lang w:val="en-US" w:eastAsia="zh-CN"/>
        </w:rPr>
        <w:t>验收后</w:t>
      </w:r>
      <w:r>
        <w:rPr>
          <w:rFonts w:hint="eastAsia" w:ascii="宋体" w:hAnsi="宋体" w:eastAsia="宋体" w:cs="宋体"/>
          <w:b w:val="0"/>
          <w:bCs w:val="0"/>
          <w:color w:val="auto"/>
        </w:rPr>
        <w:t>的五个工作日内，将合同金额的</w:t>
      </w:r>
      <w:r>
        <w:rPr>
          <w:rFonts w:hint="eastAsia" w:ascii="宋体" w:hAnsi="宋体" w:cs="宋体"/>
          <w:b w:val="0"/>
          <w:bCs w:val="0"/>
          <w:color w:val="auto"/>
          <w:lang w:val="en-US" w:eastAsia="zh-CN"/>
        </w:rPr>
        <w:t>9</w:t>
      </w:r>
      <w:r>
        <w:rPr>
          <w:rFonts w:hint="eastAsia" w:ascii="宋体" w:hAnsi="宋体" w:eastAsia="宋体" w:cs="宋体"/>
          <w:b w:val="0"/>
          <w:bCs w:val="0"/>
          <w:color w:val="auto"/>
        </w:rPr>
        <w:t>0%价款支</w:t>
      </w:r>
    </w:p>
    <w:p>
      <w:pPr>
        <w:rPr>
          <w:rFonts w:hint="eastAsia" w:ascii="宋体" w:hAnsi="宋体" w:eastAsia="宋体" w:cs="宋体"/>
          <w:b/>
          <w:bCs/>
        </w:rPr>
      </w:pPr>
      <w:r>
        <w:rPr>
          <w:rFonts w:hint="eastAsia" w:ascii="宋体" w:hAnsi="宋体" w:eastAsia="宋体" w:cs="宋体"/>
          <w:b w:val="0"/>
          <w:bCs w:val="0"/>
          <w:color w:val="auto"/>
        </w:rPr>
        <w:t>付给乙方；剩余合同金额的</w:t>
      </w:r>
      <w:r>
        <w:rPr>
          <w:rFonts w:hint="eastAsia" w:ascii="宋体" w:hAnsi="宋体" w:cs="宋体"/>
          <w:b w:val="0"/>
          <w:bCs w:val="0"/>
          <w:color w:val="auto"/>
          <w:lang w:val="en-US" w:eastAsia="zh-CN"/>
        </w:rPr>
        <w:t>10</w:t>
      </w:r>
      <w:r>
        <w:rPr>
          <w:rFonts w:hint="eastAsia" w:ascii="宋体" w:hAnsi="宋体" w:eastAsia="宋体" w:cs="宋体"/>
          <w:b w:val="0"/>
          <w:bCs w:val="0"/>
          <w:color w:val="auto"/>
        </w:rPr>
        <w:t>%价款在软件</w:t>
      </w:r>
      <w:r>
        <w:rPr>
          <w:rFonts w:hint="eastAsia" w:ascii="宋体" w:hAnsi="宋体" w:cs="宋体"/>
          <w:b w:val="0"/>
          <w:bCs w:val="0"/>
          <w:color w:val="auto"/>
          <w:lang w:val="en-US" w:eastAsia="zh-CN"/>
        </w:rPr>
        <w:t>免费维保</w:t>
      </w:r>
      <w:r>
        <w:rPr>
          <w:rFonts w:hint="eastAsia" w:ascii="宋体" w:hAnsi="宋体" w:eastAsia="宋体" w:cs="宋体"/>
          <w:b w:val="0"/>
          <w:bCs w:val="0"/>
          <w:color w:val="auto"/>
        </w:rPr>
        <w:t>期满后的五个工作日内支付这笔款项。</w:t>
      </w:r>
    </w:p>
    <w:p>
      <w:pPr>
        <w:numPr>
          <w:ilvl w:val="0"/>
          <w:numId w:val="6"/>
        </w:numPr>
        <w:rPr>
          <w:rFonts w:hint="eastAsia" w:ascii="宋体" w:hAnsi="宋体" w:eastAsia="宋体" w:cs="宋体"/>
          <w:b/>
          <w:bCs/>
        </w:rPr>
      </w:pPr>
      <w:r>
        <w:rPr>
          <w:rFonts w:hint="eastAsia" w:ascii="宋体" w:hAnsi="宋体" w:cs="宋体"/>
          <w:b/>
          <w:bCs/>
          <w:lang w:val="en-US" w:eastAsia="zh-CN"/>
        </w:rPr>
        <w:t>维</w:t>
      </w:r>
      <w:r>
        <w:rPr>
          <w:rFonts w:hint="eastAsia" w:ascii="宋体" w:hAnsi="宋体" w:eastAsia="宋体" w:cs="宋体"/>
          <w:b/>
          <w:bCs/>
        </w:rPr>
        <w:t>保要求</w:t>
      </w:r>
    </w:p>
    <w:p>
      <w:pPr>
        <w:numPr>
          <w:ilvl w:val="0"/>
          <w:numId w:val="7"/>
        </w:numPr>
        <w:rPr>
          <w:rFonts w:hint="eastAsia" w:ascii="宋体" w:hAnsi="宋体" w:eastAsia="宋体" w:cs="宋体"/>
        </w:rPr>
      </w:pPr>
      <w:r>
        <w:rPr>
          <w:rFonts w:hint="eastAsia" w:ascii="宋体" w:hAnsi="宋体" w:eastAsia="宋体" w:cs="宋体"/>
        </w:rPr>
        <w:t>做好医院系统的日常维护，保证软件系统的正常运行，完成定期的数据管理工作及日常的系统更新和升级工作。</w:t>
      </w:r>
    </w:p>
    <w:p>
      <w:pPr>
        <w:numPr>
          <w:ilvl w:val="0"/>
          <w:numId w:val="7"/>
        </w:numPr>
        <w:rPr>
          <w:rFonts w:hint="eastAsia" w:ascii="宋体" w:hAnsi="宋体" w:eastAsia="宋体" w:cs="宋体"/>
        </w:rPr>
      </w:pPr>
      <w:r>
        <w:rPr>
          <w:rFonts w:hint="eastAsia" w:ascii="宋体" w:hAnsi="宋体" w:eastAsia="宋体" w:cs="宋体"/>
        </w:rPr>
        <w:t>软件验收后，软件工程师需远程提供咨询服务，必要时现场指导，不得随意更换，更换前必须通知并取得业主单位同意。</w:t>
      </w:r>
    </w:p>
    <w:p>
      <w:pPr>
        <w:numPr>
          <w:ilvl w:val="0"/>
          <w:numId w:val="7"/>
        </w:numPr>
        <w:rPr>
          <w:rFonts w:hint="eastAsia" w:ascii="宋体" w:hAnsi="宋体" w:eastAsia="宋体" w:cs="宋体"/>
        </w:rPr>
      </w:pPr>
      <w:r>
        <w:rPr>
          <w:rFonts w:hint="eastAsia" w:ascii="宋体" w:hAnsi="宋体" w:eastAsia="宋体" w:cs="宋体"/>
        </w:rPr>
        <w:t>做好院方的数据安全保密工作，严禁私自调用医院数据做与业务不相干的工作。</w:t>
      </w:r>
    </w:p>
    <w:p>
      <w:pPr>
        <w:numPr>
          <w:ilvl w:val="0"/>
          <w:numId w:val="7"/>
        </w:numPr>
        <w:rPr>
          <w:rFonts w:hint="eastAsia" w:ascii="宋体" w:hAnsi="宋体" w:eastAsia="宋体" w:cs="宋体"/>
        </w:rPr>
      </w:pPr>
      <w:r>
        <w:rPr>
          <w:rFonts w:hint="eastAsia" w:ascii="宋体" w:hAnsi="宋体" w:eastAsia="宋体" w:cs="宋体"/>
        </w:rPr>
        <w:t>工作时间内随时以电话、传真、电子邮件、 QQ 、微信、现场等方式免费提供所购产品的服务与技术支持维护给甲方，故障排除后需做好详细售后记录，并做好汇总。</w:t>
      </w:r>
    </w:p>
    <w:p>
      <w:pPr>
        <w:numPr>
          <w:ilvl w:val="0"/>
          <w:numId w:val="7"/>
        </w:numPr>
        <w:rPr>
          <w:rFonts w:hint="eastAsia" w:ascii="宋体" w:hAnsi="宋体" w:eastAsia="宋体" w:cs="宋体"/>
        </w:rPr>
      </w:pPr>
      <w:r>
        <w:rPr>
          <w:rFonts w:hint="eastAsia" w:ascii="宋体" w:hAnsi="宋体" w:eastAsia="宋体" w:cs="宋体"/>
        </w:rPr>
        <w:t>应定期进行现场巡视，了解各应用系统的问题，及时答复相应科室。</w:t>
      </w:r>
    </w:p>
    <w:p>
      <w:pPr>
        <w:numPr>
          <w:ilvl w:val="0"/>
          <w:numId w:val="7"/>
        </w:numPr>
        <w:rPr>
          <w:b w:val="0"/>
          <w:bCs w:val="0"/>
          <w:color w:val="auto"/>
        </w:rPr>
      </w:pPr>
      <w:r>
        <w:rPr>
          <w:rFonts w:hint="eastAsia" w:ascii="宋体" w:hAnsi="宋体" w:cs="宋体"/>
          <w:b w:val="0"/>
          <w:bCs w:val="0"/>
          <w:color w:val="auto"/>
          <w:lang w:val="en-US" w:eastAsia="zh-CN"/>
        </w:rPr>
        <w:t>服务期内维护及升级不另收费</w:t>
      </w:r>
      <w:r>
        <w:rPr>
          <w:rFonts w:hint="eastAsia" w:ascii="宋体" w:hAnsi="宋体" w:cs="宋体"/>
          <w:b w:val="0"/>
          <w:bCs w:val="0"/>
          <w:color w:val="auto"/>
          <w:lang w:eastAsia="zh-CN"/>
        </w:rPr>
        <w:t>。</w:t>
      </w:r>
    </w:p>
    <w:p>
      <w:pPr>
        <w:pStyle w:val="6"/>
        <w:rPr>
          <w:rFonts w:hint="eastAsia" w:ascii="宋体" w:hAnsi="宋体" w:eastAsia="宋体" w:cs="宋体"/>
        </w:rPr>
      </w:pPr>
    </w:p>
    <w:p>
      <w:pPr>
        <w:rPr>
          <w:rFonts w:hint="eastAsia" w:ascii="宋体" w:hAnsi="宋体" w:eastAsia="宋体" w:cs="宋体"/>
        </w:rPr>
      </w:pPr>
    </w:p>
    <w:p>
      <w:pPr>
        <w:pStyle w:val="6"/>
        <w:rPr>
          <w:rFonts w:hint="eastAsia" w:ascii="宋体" w:hAnsi="宋体" w:eastAsia="宋体" w:cs="宋体"/>
        </w:rPr>
      </w:pPr>
    </w:p>
    <w:p>
      <w:pPr>
        <w:pStyle w:val="6"/>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DBB96"/>
    <w:multiLevelType w:val="singleLevel"/>
    <w:tmpl w:val="814DBB96"/>
    <w:lvl w:ilvl="0" w:tentative="0">
      <w:start w:val="1"/>
      <w:numFmt w:val="decimal"/>
      <w:suff w:val="space"/>
      <w:lvlText w:val="%1."/>
      <w:lvlJc w:val="left"/>
    </w:lvl>
  </w:abstractNum>
  <w:abstractNum w:abstractNumId="1">
    <w:nsid w:val="8F914106"/>
    <w:multiLevelType w:val="singleLevel"/>
    <w:tmpl w:val="8F914106"/>
    <w:lvl w:ilvl="0" w:tentative="0">
      <w:start w:val="1"/>
      <w:numFmt w:val="decimal"/>
      <w:pStyle w:val="5"/>
      <w:lvlText w:val="%1."/>
      <w:lvlJc w:val="left"/>
      <w:pPr>
        <w:ind w:left="425" w:hanging="425"/>
      </w:pPr>
      <w:rPr>
        <w:rFonts w:hint="default"/>
      </w:rPr>
    </w:lvl>
  </w:abstractNum>
  <w:abstractNum w:abstractNumId="2">
    <w:nsid w:val="E829E676"/>
    <w:multiLevelType w:val="singleLevel"/>
    <w:tmpl w:val="E829E676"/>
    <w:lvl w:ilvl="0" w:tentative="0">
      <w:start w:val="2"/>
      <w:numFmt w:val="decimal"/>
      <w:lvlText w:val="%1."/>
      <w:lvlJc w:val="left"/>
      <w:pPr>
        <w:tabs>
          <w:tab w:val="left" w:pos="312"/>
        </w:tabs>
      </w:pPr>
    </w:lvl>
  </w:abstractNum>
  <w:abstractNum w:abstractNumId="3">
    <w:nsid w:val="F8A82FF6"/>
    <w:multiLevelType w:val="singleLevel"/>
    <w:tmpl w:val="F8A82FF6"/>
    <w:lvl w:ilvl="0" w:tentative="0">
      <w:start w:val="1"/>
      <w:numFmt w:val="chineseCounting"/>
      <w:pStyle w:val="4"/>
      <w:suff w:val="nothing"/>
      <w:lvlText w:val="（%1）"/>
      <w:lvlJc w:val="left"/>
      <w:pPr>
        <w:ind w:left="0" w:firstLine="420"/>
      </w:pPr>
      <w:rPr>
        <w:rFonts w:hint="eastAsia"/>
      </w:rPr>
    </w:lvl>
  </w:abstractNum>
  <w:abstractNum w:abstractNumId="4">
    <w:nsid w:val="25EBDCD8"/>
    <w:multiLevelType w:val="singleLevel"/>
    <w:tmpl w:val="25EBDCD8"/>
    <w:lvl w:ilvl="0" w:tentative="0">
      <w:start w:val="1"/>
      <w:numFmt w:val="chineseCounting"/>
      <w:pStyle w:val="3"/>
      <w:suff w:val="nothing"/>
      <w:lvlText w:val="%1、"/>
      <w:lvlJc w:val="left"/>
      <w:pPr>
        <w:ind w:left="0" w:firstLine="420"/>
      </w:pPr>
      <w:rPr>
        <w:rFonts w:hint="eastAsia"/>
      </w:rPr>
    </w:lvl>
  </w:abstractNum>
  <w:abstractNum w:abstractNumId="5">
    <w:nsid w:val="553DB68B"/>
    <w:multiLevelType w:val="singleLevel"/>
    <w:tmpl w:val="553DB68B"/>
    <w:lvl w:ilvl="0" w:tentative="0">
      <w:start w:val="3"/>
      <w:numFmt w:val="chineseCounting"/>
      <w:suff w:val="nothing"/>
      <w:lvlText w:val="%1、"/>
      <w:lvlJc w:val="left"/>
      <w:rPr>
        <w:rFonts w:hint="eastAsia"/>
      </w:rPr>
    </w:lvl>
  </w:abstractNum>
  <w:abstractNum w:abstractNumId="6">
    <w:nsid w:val="6C71F933"/>
    <w:multiLevelType w:val="singleLevel"/>
    <w:tmpl w:val="6C71F933"/>
    <w:lvl w:ilvl="0" w:tentative="0">
      <w:start w:val="1"/>
      <w:numFmt w:val="chineseCounting"/>
      <w:suff w:val="nothing"/>
      <w:lvlText w:val="（%1）"/>
      <w:lvlJc w:val="left"/>
      <w:rPr>
        <w:rFonts w:hint="eastAsia"/>
      </w:rPr>
    </w:lvl>
  </w:abstractNum>
  <w:num w:numId="1">
    <w:abstractNumId w:val="4"/>
  </w:num>
  <w:num w:numId="2">
    <w:abstractNumId w:val="3"/>
  </w:num>
  <w:num w:numId="3">
    <w:abstractNumId w:val="1"/>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iZTk3M2M0MGI2NzQxY2RmN2RkNzEyOTg5ZDFkZGIifQ=="/>
  </w:docVars>
  <w:rsids>
    <w:rsidRoot w:val="0B891E52"/>
    <w:rsid w:val="000B5C26"/>
    <w:rsid w:val="001A7124"/>
    <w:rsid w:val="001D31ED"/>
    <w:rsid w:val="00462F1E"/>
    <w:rsid w:val="004F3F84"/>
    <w:rsid w:val="00561487"/>
    <w:rsid w:val="00671D9F"/>
    <w:rsid w:val="007C2E7D"/>
    <w:rsid w:val="008D47A3"/>
    <w:rsid w:val="009E6144"/>
    <w:rsid w:val="00C84BED"/>
    <w:rsid w:val="00DA0BB5"/>
    <w:rsid w:val="00FC025C"/>
    <w:rsid w:val="01991CDF"/>
    <w:rsid w:val="01BD087C"/>
    <w:rsid w:val="0459685C"/>
    <w:rsid w:val="05355B4E"/>
    <w:rsid w:val="085A61CC"/>
    <w:rsid w:val="096B3256"/>
    <w:rsid w:val="0A9E12EE"/>
    <w:rsid w:val="0B891E52"/>
    <w:rsid w:val="0BBD6A1E"/>
    <w:rsid w:val="103C034D"/>
    <w:rsid w:val="105723B0"/>
    <w:rsid w:val="112F4B6E"/>
    <w:rsid w:val="11B815F3"/>
    <w:rsid w:val="143A4F2F"/>
    <w:rsid w:val="14CD25F9"/>
    <w:rsid w:val="17631EAE"/>
    <w:rsid w:val="1968012F"/>
    <w:rsid w:val="19DE001B"/>
    <w:rsid w:val="1AD600AE"/>
    <w:rsid w:val="1C852824"/>
    <w:rsid w:val="1E7D42AB"/>
    <w:rsid w:val="20D3029D"/>
    <w:rsid w:val="21140ED6"/>
    <w:rsid w:val="21EF7EDE"/>
    <w:rsid w:val="24414403"/>
    <w:rsid w:val="24CF07DD"/>
    <w:rsid w:val="25F94530"/>
    <w:rsid w:val="262927EC"/>
    <w:rsid w:val="267E4DF3"/>
    <w:rsid w:val="28675FE8"/>
    <w:rsid w:val="28BE029B"/>
    <w:rsid w:val="30087334"/>
    <w:rsid w:val="313742BF"/>
    <w:rsid w:val="31506ACE"/>
    <w:rsid w:val="31CD4968"/>
    <w:rsid w:val="31DE4B1E"/>
    <w:rsid w:val="31EF25F8"/>
    <w:rsid w:val="339A635A"/>
    <w:rsid w:val="34DF66D3"/>
    <w:rsid w:val="34F82E97"/>
    <w:rsid w:val="39A43062"/>
    <w:rsid w:val="3A331D87"/>
    <w:rsid w:val="3DB56605"/>
    <w:rsid w:val="3FD043DF"/>
    <w:rsid w:val="415B3F19"/>
    <w:rsid w:val="43075AA4"/>
    <w:rsid w:val="45F531DA"/>
    <w:rsid w:val="47BC17B3"/>
    <w:rsid w:val="48F271B2"/>
    <w:rsid w:val="494E4D4D"/>
    <w:rsid w:val="4A6F4C2B"/>
    <w:rsid w:val="4E7601D7"/>
    <w:rsid w:val="4E9F14AB"/>
    <w:rsid w:val="52ED517F"/>
    <w:rsid w:val="53E61C05"/>
    <w:rsid w:val="564779EE"/>
    <w:rsid w:val="56A61715"/>
    <w:rsid w:val="58906498"/>
    <w:rsid w:val="59637709"/>
    <w:rsid w:val="59676172"/>
    <w:rsid w:val="59BE7035"/>
    <w:rsid w:val="5A4B6B1B"/>
    <w:rsid w:val="5C7A5F17"/>
    <w:rsid w:val="5C9B4999"/>
    <w:rsid w:val="5DE42242"/>
    <w:rsid w:val="609E6DEC"/>
    <w:rsid w:val="626F32BC"/>
    <w:rsid w:val="643C74D4"/>
    <w:rsid w:val="696C479B"/>
    <w:rsid w:val="71FA43C0"/>
    <w:rsid w:val="73860337"/>
    <w:rsid w:val="73A0237D"/>
    <w:rsid w:val="74102411"/>
    <w:rsid w:val="747F6D6D"/>
    <w:rsid w:val="74C45397"/>
    <w:rsid w:val="76986D65"/>
    <w:rsid w:val="7734455E"/>
    <w:rsid w:val="78BE62B2"/>
    <w:rsid w:val="7CED360A"/>
    <w:rsid w:val="7E1B2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6"/>
      <w:szCs w:val="26"/>
      <w:lang w:val="en-US" w:eastAsia="zh-CN" w:bidi="ar-SA"/>
    </w:rPr>
  </w:style>
  <w:style w:type="paragraph" w:styleId="3">
    <w:name w:val="heading 1"/>
    <w:basedOn w:val="1"/>
    <w:next w:val="1"/>
    <w:qFormat/>
    <w:uiPriority w:val="0"/>
    <w:pPr>
      <w:keepNext/>
      <w:keepLines/>
      <w:numPr>
        <w:ilvl w:val="0"/>
        <w:numId w:val="1"/>
      </w:numPr>
      <w:spacing w:line="576" w:lineRule="auto"/>
      <w:outlineLvl w:val="0"/>
    </w:pPr>
    <w:rPr>
      <w:rFonts w:asciiTheme="minorHAnsi" w:hAnsiTheme="minorHAnsi"/>
      <w:b/>
      <w:kern w:val="44"/>
      <w:sz w:val="32"/>
    </w:rPr>
  </w:style>
  <w:style w:type="paragraph" w:styleId="4">
    <w:name w:val="heading 2"/>
    <w:basedOn w:val="1"/>
    <w:next w:val="1"/>
    <w:semiHidden/>
    <w:unhideWhenUsed/>
    <w:qFormat/>
    <w:uiPriority w:val="0"/>
    <w:pPr>
      <w:keepNext/>
      <w:keepLines/>
      <w:numPr>
        <w:ilvl w:val="0"/>
        <w:numId w:val="2"/>
      </w:numPr>
      <w:spacing w:line="413" w:lineRule="auto"/>
      <w:outlineLvl w:val="1"/>
    </w:pPr>
    <w:rPr>
      <w:rFonts w:ascii="Arial" w:hAnsi="Arial" w:eastAsia="黑体"/>
      <w:sz w:val="30"/>
    </w:rPr>
  </w:style>
  <w:style w:type="paragraph" w:styleId="5">
    <w:name w:val="heading 3"/>
    <w:basedOn w:val="1"/>
    <w:next w:val="1"/>
    <w:semiHidden/>
    <w:unhideWhenUsed/>
    <w:qFormat/>
    <w:uiPriority w:val="0"/>
    <w:pPr>
      <w:keepNext/>
      <w:keepLines/>
      <w:numPr>
        <w:ilvl w:val="0"/>
        <w:numId w:val="3"/>
      </w:numPr>
      <w:spacing w:line="240" w:lineRule="atLeast"/>
      <w:outlineLvl w:val="2"/>
    </w:pPr>
    <w:rPr>
      <w:rFonts w:asciiTheme="minorHAnsi" w:hAnsiTheme="minorHAnsi"/>
      <w:b/>
      <w:sz w:val="28"/>
    </w:rPr>
  </w:style>
  <w:style w:type="character" w:default="1" w:styleId="12">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6">
    <w:name w:val="Body Text"/>
    <w:basedOn w:val="1"/>
    <w:next w:val="1"/>
    <w:qFormat/>
    <w:uiPriority w:val="0"/>
    <w:pPr>
      <w:spacing w:after="120"/>
    </w:pPr>
    <w:rPr>
      <w:sz w:val="2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
    <w:name w:val="Light List Accent 1"/>
    <w:basedOn w:val="9"/>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paragraph" w:customStyle="1" w:styleId="13">
    <w:name w:val="正文段"/>
    <w:basedOn w:val="1"/>
    <w:qFormat/>
    <w:uiPriority w:val="0"/>
    <w:pPr>
      <w:widowControl/>
      <w:snapToGrid w:val="0"/>
      <w:spacing w:afterLines="50"/>
      <w:ind w:firstLine="200" w:firstLineChars="200"/>
    </w:pPr>
    <w:rPr>
      <w:kern w:val="0"/>
      <w:sz w:val="24"/>
      <w:szCs w:val="20"/>
    </w:rPr>
  </w:style>
  <w:style w:type="character" w:customStyle="1" w:styleId="14">
    <w:name w:val="cn_91"/>
    <w:qFormat/>
    <w:uiPriority w:val="0"/>
    <w:rPr>
      <w:color w:val="000099"/>
      <w:sz w:val="18"/>
      <w:szCs w:val="18"/>
    </w:rPr>
  </w:style>
  <w:style w:type="character" w:customStyle="1" w:styleId="15">
    <w:name w:val="页眉 字符"/>
    <w:basedOn w:val="12"/>
    <w:link w:val="8"/>
    <w:qFormat/>
    <w:uiPriority w:val="0"/>
    <w:rPr>
      <w:kern w:val="2"/>
      <w:sz w:val="18"/>
      <w:szCs w:val="18"/>
    </w:rPr>
  </w:style>
  <w:style w:type="character" w:customStyle="1" w:styleId="16">
    <w:name w:val="页脚 字符"/>
    <w:basedOn w:val="12"/>
    <w:link w:val="7"/>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3146</Words>
  <Characters>3308</Characters>
  <Lines>44</Lines>
  <Paragraphs>12</Paragraphs>
  <TotalTime>4</TotalTime>
  <ScaleCrop>false</ScaleCrop>
  <LinksUpToDate>false</LinksUpToDate>
  <CharactersWithSpaces>3434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2020-10-27T01:50:00Z</dcterms:created>
  <dc:creator>Administrator</dc:creator>
  <cp:lastModifiedBy>铅丝</cp:lastModifiedBy>
  <dcterms:modified xsi:type="dcterms:W3CDTF">2022-10-20T04:45:06Z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2656E9E1D798479FB993023AC134581F</vt:lpwstr>
  </property>
</Properties>
</file>