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numPr>
          <w:ilvl w:val="0"/>
          <w:numId w:val="0"/>
        </w:numPr>
        <w:snapToGrid w:val="0"/>
        <w:spacing w:line="360" w:lineRule="auto"/>
        <w:jc w:val="center"/>
        <w:rPr>
          <w:rFonts w:hint="eastAsia" w:ascii="Times New Roman" w:hAnsi="宋体" w:eastAsia="宋体" w:cs="Times New Roman"/>
          <w:color w:val="auto"/>
          <w:kern w:val="2"/>
          <w:sz w:val="36"/>
          <w:szCs w:val="28"/>
          <w:lang w:val="en-US" w:eastAsia="zh-CN"/>
        </w:rPr>
      </w:pPr>
    </w:p>
    <w:p>
      <w:pPr>
        <w:pStyle w:val="2"/>
        <w:keepLines w:val="0"/>
        <w:numPr>
          <w:ilvl w:val="0"/>
          <w:numId w:val="0"/>
        </w:numPr>
        <w:snapToGrid w:val="0"/>
        <w:spacing w:line="360" w:lineRule="auto"/>
        <w:jc w:val="center"/>
        <w:rPr>
          <w:rFonts w:hint="eastAsia" w:ascii="Times New Roman" w:hAnsi="宋体" w:eastAsia="宋体" w:cs="Times New Roman"/>
          <w:color w:val="auto"/>
          <w:kern w:val="2"/>
          <w:sz w:val="36"/>
          <w:szCs w:val="28"/>
          <w:lang w:val="en-US" w:eastAsia="zh-CN"/>
        </w:rPr>
      </w:pPr>
      <w:r>
        <w:rPr>
          <w:rFonts w:hint="eastAsia" w:ascii="Times New Roman" w:hAnsi="宋体" w:cs="Times New Roman"/>
          <w:color w:val="auto"/>
          <w:kern w:val="2"/>
          <w:sz w:val="36"/>
          <w:szCs w:val="28"/>
          <w:lang w:val="en-US" w:eastAsia="zh-CN"/>
        </w:rPr>
        <w:t>医院</w:t>
      </w:r>
      <w:r>
        <w:rPr>
          <w:rFonts w:hint="eastAsia" w:ascii="Times New Roman" w:hAnsi="宋体" w:eastAsia="宋体" w:cs="Times New Roman"/>
          <w:color w:val="auto"/>
          <w:kern w:val="2"/>
          <w:sz w:val="36"/>
          <w:szCs w:val="28"/>
          <w:lang w:val="en-US" w:eastAsia="zh-CN"/>
        </w:rPr>
        <w:t>精细化管理系统要求</w:t>
      </w:r>
    </w:p>
    <w:p>
      <w:pPr>
        <w:spacing w:line="480" w:lineRule="auto"/>
        <w:rPr>
          <w:b/>
          <w:bCs/>
          <w:sz w:val="30"/>
          <w:szCs w:val="30"/>
        </w:rPr>
      </w:pPr>
      <w:r>
        <w:rPr>
          <w:rFonts w:hint="eastAsia"/>
          <w:b/>
          <w:bCs/>
          <w:sz w:val="30"/>
          <w:szCs w:val="30"/>
          <w:lang w:val="en-US" w:eastAsia="zh-CN"/>
        </w:rPr>
        <w:t>一、</w:t>
      </w:r>
      <w:r>
        <w:rPr>
          <w:b/>
          <w:bCs/>
          <w:sz w:val="30"/>
          <w:szCs w:val="30"/>
        </w:rPr>
        <w:t>供应商资格要求：</w:t>
      </w:r>
    </w:p>
    <w:p>
      <w:pPr>
        <w:rPr>
          <w:rFonts w:hint="eastAsia" w:ascii="宋体" w:hAnsi="宋体" w:cs="宋体"/>
          <w:lang w:val="en-US" w:eastAsia="zh-CN"/>
        </w:rPr>
      </w:pPr>
      <w:r>
        <w:rPr>
          <w:rFonts w:hint="eastAsia" w:ascii="宋体" w:hAnsi="宋体" w:cs="宋体"/>
          <w:lang w:val="en-US" w:eastAsia="zh-CN"/>
        </w:rPr>
        <w:t>1、符合《中华人民共和国政府采购法》第二十二条对供应商的资格要求；</w:t>
      </w:r>
    </w:p>
    <w:p>
      <w:pPr>
        <w:rPr>
          <w:rFonts w:hint="eastAsia" w:ascii="宋体" w:hAnsi="宋体" w:cs="宋体"/>
          <w:lang w:val="en-US" w:eastAsia="zh-CN"/>
        </w:rPr>
      </w:pPr>
      <w:r>
        <w:rPr>
          <w:rFonts w:hint="eastAsia" w:ascii="宋体" w:hAnsi="宋体" w:cs="宋体"/>
          <w:lang w:val="en-US" w:eastAsia="zh-CN"/>
        </w:rPr>
        <w:t>2.供应商有充分的医院合作案例并提供合同案例复印件加盖公章；</w:t>
      </w:r>
    </w:p>
    <w:p>
      <w:pPr>
        <w:rPr>
          <w:rFonts w:hint="eastAsia" w:ascii="宋体" w:hAnsi="宋体" w:cs="宋体"/>
          <w:lang w:val="en-US" w:eastAsia="zh-CN"/>
        </w:rPr>
      </w:pPr>
      <w:r>
        <w:rPr>
          <w:rFonts w:hint="eastAsia" w:ascii="宋体" w:hAnsi="宋体" w:cs="宋体"/>
          <w:lang w:val="en-US" w:eastAsia="zh-CN"/>
        </w:rPr>
        <w:t>3.供应商营业执照的经营范围需要包含医院管理咨询及计算机软硬件开发及维护；</w:t>
      </w:r>
    </w:p>
    <w:p>
      <w:pPr>
        <w:rPr>
          <w:rFonts w:hint="eastAsia" w:ascii="宋体" w:hAnsi="宋体" w:cs="宋体"/>
          <w:lang w:val="en-US" w:eastAsia="zh-CN"/>
        </w:rPr>
      </w:pPr>
      <w:r>
        <w:rPr>
          <w:rFonts w:hint="eastAsia" w:ascii="宋体" w:hAnsi="宋体" w:cs="宋体"/>
          <w:lang w:val="en-US" w:eastAsia="zh-CN"/>
        </w:rPr>
        <w:t>3. 不接受联合体投标；</w:t>
      </w:r>
    </w:p>
    <w:p>
      <w:pPr>
        <w:rPr>
          <w:rFonts w:hint="eastAsia" w:ascii="宋体" w:hAnsi="宋体" w:cs="宋体"/>
          <w:lang w:val="en-US" w:eastAsia="zh-CN"/>
        </w:rPr>
      </w:pPr>
      <w:r>
        <w:rPr>
          <w:rFonts w:hint="eastAsia" w:ascii="宋体" w:hAnsi="宋体" w:cs="宋体"/>
          <w:lang w:val="en-US" w:eastAsia="zh-CN"/>
        </w:rPr>
        <w:t>4、法律、行政法规规定的其他条件。</w:t>
      </w:r>
    </w:p>
    <w:p>
      <w:pPr>
        <w:rPr>
          <w:rFonts w:hint="eastAsia"/>
          <w:lang w:val="en-US" w:eastAsia="zh-CN"/>
        </w:rPr>
      </w:pPr>
    </w:p>
    <w:p>
      <w:pPr>
        <w:autoSpaceDN w:val="0"/>
        <w:spacing w:line="460" w:lineRule="exact"/>
        <w:rPr>
          <w:rFonts w:hint="eastAsia" w:ascii="新宋体" w:hAnsi="新宋体" w:eastAsia="新宋体" w:cs="新宋体"/>
          <w:bCs/>
          <w:sz w:val="30"/>
          <w:szCs w:val="30"/>
        </w:rPr>
      </w:pPr>
      <w:r>
        <w:rPr>
          <w:rFonts w:hint="eastAsia" w:ascii="新宋体" w:hAnsi="新宋体" w:eastAsia="新宋体" w:cs="新宋体"/>
          <w:b/>
          <w:bCs w:val="0"/>
          <w:sz w:val="30"/>
          <w:szCs w:val="30"/>
          <w:lang w:val="en-US" w:eastAsia="zh-CN"/>
        </w:rPr>
        <w:t>二、招标内容</w:t>
      </w:r>
      <w:r>
        <w:rPr>
          <w:rFonts w:hint="eastAsia" w:ascii="新宋体" w:hAnsi="新宋体" w:eastAsia="新宋体" w:cs="新宋体"/>
          <w:bCs/>
          <w:sz w:val="30"/>
          <w:szCs w:val="30"/>
        </w:rPr>
        <w:t xml:space="preserve">： </w:t>
      </w:r>
    </w:p>
    <w:p>
      <w:pPr>
        <w:rPr>
          <w:rFonts w:hint="eastAsia"/>
          <w:lang w:val="en-US" w:eastAsia="zh-CN"/>
        </w:rPr>
      </w:pPr>
    </w:p>
    <w:tbl>
      <w:tblPr>
        <w:tblStyle w:val="8"/>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417"/>
        <w:gridCol w:w="5159"/>
        <w:gridCol w:w="849"/>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Align w:val="center"/>
          </w:tcPr>
          <w:p>
            <w:pPr>
              <w:spacing w:line="300" w:lineRule="exact"/>
              <w:jc w:val="center"/>
              <w:rPr>
                <w:rFonts w:ascii="宋体" w:hAnsi="宋体"/>
                <w:color w:val="000000"/>
                <w:sz w:val="24"/>
                <w:szCs w:val="24"/>
              </w:rPr>
            </w:pPr>
            <w:r>
              <w:rPr>
                <w:rFonts w:hint="eastAsia" w:ascii="宋体" w:hAnsi="宋体"/>
                <w:color w:val="000000"/>
                <w:sz w:val="24"/>
                <w:szCs w:val="24"/>
              </w:rPr>
              <w:t>编号</w:t>
            </w:r>
          </w:p>
        </w:tc>
        <w:tc>
          <w:tcPr>
            <w:tcW w:w="1417" w:type="dxa"/>
            <w:vAlign w:val="center"/>
          </w:tcPr>
          <w:p>
            <w:pPr>
              <w:spacing w:line="300" w:lineRule="exact"/>
              <w:jc w:val="center"/>
              <w:rPr>
                <w:rFonts w:ascii="宋体" w:hAnsi="宋体"/>
                <w:color w:val="000000"/>
                <w:sz w:val="24"/>
                <w:szCs w:val="24"/>
              </w:rPr>
            </w:pPr>
            <w:r>
              <w:rPr>
                <w:rFonts w:hint="eastAsia" w:ascii="宋体" w:hAnsi="宋体"/>
                <w:color w:val="000000"/>
                <w:sz w:val="24"/>
                <w:szCs w:val="24"/>
              </w:rPr>
              <w:t>名称</w:t>
            </w:r>
          </w:p>
        </w:tc>
        <w:tc>
          <w:tcPr>
            <w:tcW w:w="5159" w:type="dxa"/>
            <w:vAlign w:val="center"/>
          </w:tcPr>
          <w:p>
            <w:pPr>
              <w:spacing w:line="300" w:lineRule="exact"/>
              <w:jc w:val="center"/>
              <w:rPr>
                <w:rFonts w:ascii="宋体" w:hAnsi="宋体"/>
                <w:color w:val="000000"/>
                <w:sz w:val="24"/>
                <w:szCs w:val="24"/>
              </w:rPr>
            </w:pPr>
            <w:r>
              <w:rPr>
                <w:rFonts w:hint="eastAsia" w:ascii="宋体" w:hAnsi="宋体"/>
                <w:color w:val="000000"/>
                <w:sz w:val="24"/>
                <w:szCs w:val="24"/>
              </w:rPr>
              <w:t>要求</w:t>
            </w:r>
          </w:p>
        </w:tc>
        <w:tc>
          <w:tcPr>
            <w:tcW w:w="849" w:type="dxa"/>
            <w:vAlign w:val="center"/>
          </w:tcPr>
          <w:p>
            <w:pPr>
              <w:spacing w:line="300" w:lineRule="exact"/>
              <w:jc w:val="center"/>
              <w:rPr>
                <w:rFonts w:ascii="宋体" w:hAnsi="宋体"/>
                <w:color w:val="000000"/>
                <w:sz w:val="24"/>
                <w:szCs w:val="24"/>
              </w:rPr>
            </w:pPr>
            <w:r>
              <w:rPr>
                <w:rFonts w:hint="eastAsia" w:ascii="宋体" w:hAnsi="宋体"/>
                <w:color w:val="000000"/>
                <w:sz w:val="24"/>
                <w:szCs w:val="24"/>
              </w:rPr>
              <w:t>数量</w:t>
            </w:r>
          </w:p>
        </w:tc>
        <w:tc>
          <w:tcPr>
            <w:tcW w:w="1475" w:type="dxa"/>
            <w:vAlign w:val="center"/>
          </w:tcPr>
          <w:p>
            <w:pPr>
              <w:spacing w:line="300" w:lineRule="exact"/>
              <w:jc w:val="center"/>
              <w:rPr>
                <w:rFonts w:hint="eastAsia" w:ascii="宋体" w:hAnsi="宋体" w:eastAsia="宋体"/>
                <w:b/>
                <w:bCs/>
                <w:color w:val="auto"/>
                <w:sz w:val="24"/>
                <w:szCs w:val="24"/>
                <w:lang w:eastAsia="zh-CN"/>
              </w:rPr>
            </w:pPr>
            <w:r>
              <w:rPr>
                <w:rFonts w:hint="eastAsia" w:ascii="宋体" w:hAnsi="宋体"/>
                <w:color w:val="000000"/>
                <w:sz w:val="24"/>
                <w:szCs w:val="24"/>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7" w:type="dxa"/>
            <w:vAlign w:val="center"/>
          </w:tcPr>
          <w:p>
            <w:pPr>
              <w:spacing w:line="300" w:lineRule="exact"/>
              <w:jc w:val="center"/>
              <w:rPr>
                <w:rFonts w:ascii="宋体" w:hAnsi="宋体"/>
                <w:color w:val="000000"/>
                <w:sz w:val="24"/>
                <w:szCs w:val="24"/>
              </w:rPr>
            </w:pPr>
            <w:r>
              <w:rPr>
                <w:rFonts w:hint="eastAsia" w:ascii="宋体" w:hAnsi="宋体"/>
                <w:color w:val="000000"/>
                <w:sz w:val="24"/>
                <w:szCs w:val="24"/>
              </w:rPr>
              <w:t>1</w:t>
            </w:r>
          </w:p>
        </w:tc>
        <w:tc>
          <w:tcPr>
            <w:tcW w:w="1417" w:type="dxa"/>
            <w:vAlign w:val="center"/>
          </w:tcPr>
          <w:p>
            <w:pPr>
              <w:jc w:val="center"/>
              <w:rPr>
                <w:rFonts w:ascii="宋体" w:hAnsi="宋体"/>
                <w:sz w:val="24"/>
                <w:szCs w:val="24"/>
              </w:rPr>
            </w:pPr>
            <w:r>
              <w:rPr>
                <w:rFonts w:hint="eastAsia" w:ascii="宋体" w:hAnsi="宋体"/>
                <w:sz w:val="24"/>
                <w:szCs w:val="24"/>
              </w:rPr>
              <w:t>医院精细化管理系统</w:t>
            </w:r>
          </w:p>
        </w:tc>
        <w:tc>
          <w:tcPr>
            <w:tcW w:w="5159" w:type="dxa"/>
          </w:tcPr>
          <w:p>
            <w:pPr>
              <w:rPr>
                <w:rFonts w:ascii="宋体" w:hAnsi="宋体"/>
                <w:sz w:val="24"/>
                <w:szCs w:val="24"/>
              </w:rPr>
            </w:pPr>
            <w:r>
              <w:rPr>
                <w:rFonts w:hint="eastAsia" w:ascii="宋体" w:hAnsi="宋体"/>
                <w:sz w:val="24"/>
                <w:szCs w:val="24"/>
                <w:lang w:val="en-US" w:eastAsia="zh-CN"/>
              </w:rPr>
              <w:t>满足</w:t>
            </w:r>
            <w:r>
              <w:rPr>
                <w:rFonts w:hint="eastAsia" w:ascii="宋体" w:hAnsi="宋体"/>
                <w:sz w:val="24"/>
                <w:szCs w:val="24"/>
              </w:rPr>
              <w:t>医院等级评审需要和医院日常工作需求（详细参数见功能参数）</w:t>
            </w:r>
            <w:bookmarkStart w:id="0" w:name="_GoBack"/>
            <w:bookmarkEnd w:id="0"/>
          </w:p>
        </w:tc>
        <w:tc>
          <w:tcPr>
            <w:tcW w:w="849" w:type="dxa"/>
            <w:vAlign w:val="center"/>
          </w:tcPr>
          <w:p>
            <w:pPr>
              <w:spacing w:line="300" w:lineRule="exact"/>
              <w:jc w:val="center"/>
              <w:rPr>
                <w:rFonts w:ascii="宋体" w:hAnsi="宋体"/>
                <w:color w:val="000000"/>
                <w:sz w:val="24"/>
                <w:szCs w:val="24"/>
              </w:rPr>
            </w:pPr>
            <w:r>
              <w:rPr>
                <w:rFonts w:hint="eastAsia" w:ascii="宋体" w:hAnsi="宋体"/>
                <w:color w:val="000000"/>
                <w:sz w:val="24"/>
                <w:szCs w:val="24"/>
              </w:rPr>
              <w:t>1</w:t>
            </w:r>
          </w:p>
        </w:tc>
        <w:tc>
          <w:tcPr>
            <w:tcW w:w="1475" w:type="dxa"/>
            <w:vAlign w:val="center"/>
          </w:tcPr>
          <w:p>
            <w:pPr>
              <w:spacing w:line="30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套</w:t>
            </w:r>
          </w:p>
        </w:tc>
      </w:tr>
    </w:tbl>
    <w:p>
      <w:pPr>
        <w:rPr>
          <w:rFonts w:hint="eastAsia"/>
          <w:lang w:val="en-US" w:eastAsia="zh-CN"/>
        </w:rPr>
      </w:pPr>
    </w:p>
    <w:p>
      <w:pPr>
        <w:numPr>
          <w:ilvl w:val="0"/>
          <w:numId w:val="0"/>
        </w:numPr>
      </w:pPr>
      <w:r>
        <w:rPr>
          <w:rFonts w:hint="eastAsia"/>
        </w:rPr>
        <w:t>需</w:t>
      </w:r>
      <w:r>
        <w:rPr>
          <w:rFonts w:hint="eastAsia"/>
          <w:lang w:val="en-US" w:eastAsia="zh-CN"/>
        </w:rPr>
        <w:t>支持</w:t>
      </w:r>
      <w:r>
        <w:rPr>
          <w:rFonts w:hint="eastAsia"/>
        </w:rPr>
        <w:t>电脑端和手机端；能支持等级评审专项任务和评审后的持续应用；能支持多个项目的同时应用；有等级评审迎评的参考资料做指引。</w:t>
      </w:r>
    </w:p>
    <w:p>
      <w:pPr>
        <w:autoSpaceDN w:val="0"/>
        <w:spacing w:line="460" w:lineRule="exact"/>
        <w:rPr>
          <w:rFonts w:hint="eastAsia" w:ascii="新宋体" w:hAnsi="新宋体" w:eastAsia="新宋体" w:cs="新宋体"/>
          <w:b/>
          <w:bCs w:val="0"/>
          <w:sz w:val="30"/>
          <w:szCs w:val="30"/>
          <w:lang w:val="en-US" w:eastAsia="zh-CN"/>
        </w:rPr>
      </w:pPr>
      <w:r>
        <w:rPr>
          <w:rFonts w:hint="eastAsia" w:ascii="新宋体" w:hAnsi="新宋体" w:eastAsia="新宋体" w:cs="新宋体"/>
          <w:b/>
          <w:bCs w:val="0"/>
          <w:sz w:val="30"/>
          <w:szCs w:val="30"/>
          <w:lang w:val="en-US" w:eastAsia="zh-CN"/>
        </w:rPr>
        <w:t>三、技术参数和功能要求</w:t>
      </w:r>
    </w:p>
    <w:tbl>
      <w:tblPr>
        <w:tblStyle w:val="8"/>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007"/>
        <w:gridCol w:w="1290"/>
        <w:gridCol w:w="6"/>
        <w:gridCol w:w="405"/>
        <w:gridCol w:w="6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000000"/>
                <w:sz w:val="21"/>
                <w:szCs w:val="21"/>
              </w:rPr>
            </w:pPr>
            <w:r>
              <w:rPr>
                <w:rFonts w:hint="eastAsia" w:ascii="宋体" w:hAnsi="宋体" w:cs="宋体"/>
                <w:b/>
                <w:color w:val="000000"/>
                <w:szCs w:val="21"/>
              </w:rPr>
              <w:t>序号</w:t>
            </w:r>
          </w:p>
        </w:tc>
        <w:tc>
          <w:tcPr>
            <w:tcW w:w="8841"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000000"/>
                <w:szCs w:val="21"/>
              </w:rPr>
            </w:pPr>
            <w:r>
              <w:rPr>
                <w:rFonts w:hint="eastAsia" w:ascii="宋体" w:hAnsi="宋体" w:cs="宋体"/>
                <w:b/>
                <w:color w:val="000000"/>
                <w:szCs w:val="21"/>
              </w:rPr>
              <w:t>参数和功能要求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30"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bCs/>
                <w:color w:val="000000"/>
                <w:kern w:val="0"/>
                <w:szCs w:val="21"/>
              </w:rPr>
            </w:pPr>
            <w:r>
              <w:rPr>
                <w:rFonts w:hint="eastAsia" w:ascii="宋体" w:hAnsi="宋体" w:cs="宋体"/>
                <w:b/>
                <w:bCs/>
                <w:color w:val="000000"/>
                <w:kern w:val="0"/>
                <w:szCs w:val="21"/>
              </w:rPr>
              <w:t>一、总体要求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1</w:t>
            </w:r>
          </w:p>
        </w:tc>
        <w:tc>
          <w:tcPr>
            <w:tcW w:w="8841" w:type="dxa"/>
            <w:gridSpan w:val="5"/>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bCs/>
                <w:color w:val="000000"/>
                <w:szCs w:val="21"/>
              </w:rPr>
              <w:t>供应商应该充分了解浙江省等级医院推进进度、评审模式以及最新信息化建设现状，最大限度地共享及应用医院现有的信息体系资源，不造成资源的浪费；必要时可提供等级医院评审专家的线上咨询。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2</w:t>
            </w:r>
          </w:p>
        </w:tc>
        <w:tc>
          <w:tcPr>
            <w:tcW w:w="8841" w:type="dxa"/>
            <w:gridSpan w:val="5"/>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bCs/>
                <w:color w:val="000000"/>
                <w:szCs w:val="21"/>
              </w:rPr>
              <w:t>拥有浙江省等级医院评审政策解读，严格按照浙江省卫健委评审标准实施细则的要求，内置第四周期《</w:t>
            </w:r>
            <w:r>
              <w:rPr>
                <w:rFonts w:hint="eastAsia" w:ascii="宋体" w:hAnsi="宋体" w:cs="宋体"/>
                <w:color w:val="000000"/>
                <w:szCs w:val="21"/>
              </w:rPr>
              <w:t>浙江省</w:t>
            </w:r>
            <w:r>
              <w:rPr>
                <w:rFonts w:hint="eastAsia" w:ascii="宋体" w:hAnsi="宋体" w:cs="宋体"/>
                <w:color w:val="000000"/>
                <w:szCs w:val="21"/>
                <w:lang w:val="en-US" w:eastAsia="zh-CN"/>
              </w:rPr>
              <w:t>妇幼保健医院</w:t>
            </w:r>
            <w:r>
              <w:rPr>
                <w:rFonts w:hint="eastAsia" w:ascii="宋体" w:hAnsi="宋体" w:cs="宋体"/>
                <w:color w:val="000000"/>
                <w:szCs w:val="21"/>
              </w:rPr>
              <w:t>等级评审标准</w:t>
            </w:r>
            <w:r>
              <w:rPr>
                <w:rFonts w:hint="eastAsia" w:ascii="宋体" w:hAnsi="宋体" w:cs="宋体"/>
                <w:bCs/>
                <w:color w:val="000000"/>
                <w:szCs w:val="21"/>
              </w:rPr>
              <w:t>》三类指标；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3</w:t>
            </w:r>
          </w:p>
        </w:tc>
        <w:tc>
          <w:tcPr>
            <w:tcW w:w="8841" w:type="dxa"/>
            <w:gridSpan w:val="5"/>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bCs/>
                <w:color w:val="000000"/>
                <w:szCs w:val="21"/>
              </w:rPr>
              <w:t>通过软件系统可辅助医院梳理管理组织架构、重建制度架构体系，支持医院日常精细化管理，体现医院质量PDCA持续发展提升要求。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★4</w:t>
            </w:r>
          </w:p>
        </w:tc>
        <w:tc>
          <w:tcPr>
            <w:tcW w:w="8841" w:type="dxa"/>
            <w:gridSpan w:val="5"/>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bCs/>
                <w:color w:val="000000"/>
                <w:szCs w:val="21"/>
              </w:rPr>
              <w:t>软件系统需要同时支持PC网页端和手机移动端，两端操作都并达到功能模块与资料库互联互通。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5</w:t>
            </w:r>
          </w:p>
        </w:tc>
        <w:tc>
          <w:tcPr>
            <w:tcW w:w="8841" w:type="dxa"/>
            <w:gridSpan w:val="5"/>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bCs/>
                <w:color w:val="000000"/>
                <w:szCs w:val="21"/>
              </w:rPr>
              <w:t>供应商提供信息化技术，帮助医院在等级医院迎评中优化任务分配、管控任务执行效果、整体把握项目进度；落实日常自评自查和迎评督评督查；汇集学习考试功能；所有操作关联条款并做到任务执行全过程留痕，便于追踪检查；同时资料归档在迎评台账下，实现信息集成，一键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★6</w:t>
            </w:r>
          </w:p>
        </w:tc>
        <w:tc>
          <w:tcPr>
            <w:tcW w:w="8841" w:type="dxa"/>
            <w:gridSpan w:val="5"/>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bCs/>
                <w:color w:val="000000"/>
                <w:szCs w:val="21"/>
              </w:rPr>
              <w:t>根据浙江省等级医院评审的要求，内置部分自查、督查模板，自查督查模板符合日常工作实际，以利于工作常态化、标准化。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30"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b/>
                <w:color w:val="000000"/>
                <w:szCs w:val="21"/>
              </w:rPr>
              <w:t>二、PC端（功能模块及技术参数）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bCs/>
                <w:color w:val="000000"/>
                <w:szCs w:val="21"/>
              </w:rPr>
              <w:t>1</w:t>
            </w:r>
          </w:p>
        </w:tc>
        <w:tc>
          <w:tcPr>
            <w:tcW w:w="100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系统</w:t>
            </w:r>
          </w:p>
          <w:p>
            <w:pPr>
              <w:widowControl/>
              <w:spacing w:line="400" w:lineRule="exact"/>
              <w:jc w:val="center"/>
              <w:rPr>
                <w:rFonts w:ascii="宋体" w:hAnsi="宋体" w:cs="宋体"/>
                <w:color w:val="000000"/>
                <w:kern w:val="0"/>
                <w:szCs w:val="21"/>
              </w:rPr>
            </w:pPr>
            <w:r>
              <w:rPr>
                <w:rFonts w:hint="eastAsia" w:ascii="宋体" w:hAnsi="宋体" w:cs="宋体"/>
                <w:color w:val="000000"/>
                <w:szCs w:val="21"/>
              </w:rPr>
              <w:t>管理</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szCs w:val="21"/>
              </w:rPr>
              <w:t>组织人员管理</w:t>
            </w:r>
          </w:p>
        </w:tc>
        <w:tc>
          <w:tcPr>
            <w:tcW w:w="6544"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支持人员、部门快速批量导入；支持部门新增、编辑、删除等操作；支持人员标签管理，支持人员新增、移岗、离职、删除等操作，支持人员信息关键字搜索，便于查找任务执行人时可快速确定选择。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2</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1"/>
                <w:szCs w:val="21"/>
              </w:rPr>
            </w:pP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szCs w:val="21"/>
              </w:rPr>
              <w:t>条款维护</w:t>
            </w:r>
          </w:p>
        </w:tc>
        <w:tc>
          <w:tcPr>
            <w:tcW w:w="6544"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提供等级医院评审条款变化时的维护及修改；支持对日常任务进行创建维护。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3</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1"/>
                <w:szCs w:val="21"/>
              </w:rPr>
            </w:pP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szCs w:val="21"/>
              </w:rPr>
              <w:t>权限管理</w:t>
            </w:r>
          </w:p>
        </w:tc>
        <w:tc>
          <w:tcPr>
            <w:tcW w:w="6544"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资料库支持设置查看权限和编辑权限，任务条款、自查考核、督查考核、评价评审均支持权限管理，非管理员仅可查看到与自己相关的内容。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4</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1"/>
                <w:szCs w:val="21"/>
              </w:rPr>
            </w:pP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szCs w:val="21"/>
              </w:rPr>
              <w:t>标签管理</w:t>
            </w:r>
          </w:p>
        </w:tc>
        <w:tc>
          <w:tcPr>
            <w:tcW w:w="6544"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支持对人员设置标签，如医疗组、主任医师、护士长等；支持对自查表和督查表设置标签。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bCs/>
                <w:color w:val="000000"/>
                <w:szCs w:val="21"/>
              </w:rPr>
              <w:t>5</w:t>
            </w:r>
          </w:p>
        </w:tc>
        <w:tc>
          <w:tcPr>
            <w:tcW w:w="100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szCs w:val="21"/>
              </w:rPr>
              <w:t>等级医院评审任务管理</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szCs w:val="21"/>
              </w:rPr>
              <w:t>任务管理</w:t>
            </w:r>
          </w:p>
        </w:tc>
        <w:tc>
          <w:tcPr>
            <w:tcW w:w="6544" w:type="dxa"/>
            <w:gridSpan w:val="3"/>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支持新建任务、新建会议。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6</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6544" w:type="dxa"/>
            <w:gridSpan w:val="3"/>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支持批量导入评审条款，评审条款为第四周期《浙江省</w:t>
            </w:r>
            <w:r>
              <w:rPr>
                <w:rFonts w:hint="eastAsia" w:ascii="宋体" w:hAnsi="宋体" w:cs="宋体"/>
                <w:color w:val="000000"/>
                <w:szCs w:val="21"/>
                <w:lang w:val="en-US" w:eastAsia="zh-CN"/>
              </w:rPr>
              <w:t>妇幼保健医院</w:t>
            </w:r>
            <w:r>
              <w:rPr>
                <w:rFonts w:hint="eastAsia" w:ascii="宋体" w:hAnsi="宋体" w:cs="宋体"/>
                <w:color w:val="000000"/>
                <w:szCs w:val="21"/>
              </w:rPr>
              <w:t>等级评审标准》三类指标；支持设置好审核人和执行人后，即可启动任务。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7</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6544" w:type="dxa"/>
            <w:gridSpan w:val="3"/>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支持批量导入及手动新建日常任务；支持启动日常任务。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8</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6544" w:type="dxa"/>
            <w:gridSpan w:val="3"/>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待完成和待审核的任务都会出现在待办任务列表中；待参加、待补录资料的会议也会在待办任务列表中；待办任务支持流转执行和审批。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9</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6544" w:type="dxa"/>
            <w:gridSpan w:val="3"/>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支持对任务进展状态进行监控，分为未启动、未执行、待审核、已完成标签。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10</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6544" w:type="dxa"/>
            <w:gridSpan w:val="3"/>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审批通过的任务和已完成补录资料的会议会自动归档到已完成任务中。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11</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szCs w:val="21"/>
              </w:rPr>
              <w:t>发起等级评审相关工作会议</w:t>
            </w:r>
          </w:p>
        </w:tc>
        <w:tc>
          <w:tcPr>
            <w:tcW w:w="6544" w:type="dxa"/>
            <w:gridSpan w:val="3"/>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关联条款，能在PC网页端或手机移动端发起会议，并可以关联相应的条款；会议通知到相应参加人，参与人可回复参加或不参加；自动生成会议二维码，可以手机签到并导出参会名单；必须上传会议照片和会议资料才可以结束会议；会后可以补录会议摘要；会后所有留痕资料归档进入迎评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12</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szCs w:val="21"/>
              </w:rPr>
              <w:t>参考模板</w:t>
            </w:r>
          </w:p>
        </w:tc>
        <w:tc>
          <w:tcPr>
            <w:tcW w:w="6544" w:type="dxa"/>
            <w:gridSpan w:val="3"/>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内置等级医院评审要点以及围绕</w:t>
            </w:r>
            <w:r>
              <w:rPr>
                <w:rFonts w:hint="eastAsia" w:ascii="宋体" w:hAnsi="宋体" w:cs="宋体"/>
                <w:bCs/>
                <w:color w:val="000000"/>
                <w:szCs w:val="21"/>
              </w:rPr>
              <w:t>第四周期《</w:t>
            </w:r>
            <w:r>
              <w:rPr>
                <w:rFonts w:hint="eastAsia" w:ascii="宋体" w:hAnsi="宋体" w:cs="宋体"/>
                <w:color w:val="000000"/>
                <w:szCs w:val="21"/>
              </w:rPr>
              <w:t>浙江省</w:t>
            </w:r>
            <w:r>
              <w:rPr>
                <w:rFonts w:hint="eastAsia" w:ascii="宋体" w:hAnsi="宋体" w:cs="宋体"/>
                <w:color w:val="000000"/>
                <w:szCs w:val="21"/>
                <w:lang w:val="en-US" w:eastAsia="zh-CN"/>
              </w:rPr>
              <w:t>妇幼保健医院</w:t>
            </w:r>
            <w:r>
              <w:rPr>
                <w:rFonts w:hint="eastAsia" w:ascii="宋体" w:hAnsi="宋体" w:cs="宋体"/>
                <w:color w:val="000000"/>
                <w:szCs w:val="21"/>
              </w:rPr>
              <w:t>等级评审标准</w:t>
            </w:r>
            <w:r>
              <w:rPr>
                <w:rFonts w:hint="eastAsia" w:ascii="宋体" w:hAnsi="宋体" w:cs="宋体"/>
                <w:bCs/>
                <w:color w:val="000000"/>
                <w:szCs w:val="21"/>
              </w:rPr>
              <w:t>》三类指标</w:t>
            </w:r>
            <w:r>
              <w:rPr>
                <w:rFonts w:hint="eastAsia" w:ascii="宋体" w:hAnsi="宋体" w:cs="宋体"/>
                <w:color w:val="000000"/>
                <w:szCs w:val="21"/>
              </w:rPr>
              <w:t>迎评任务执行的参考附件（包括法规和制度），可支持复制和下载，以利于执行人参考和提高修订效率；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bCs/>
                <w:color w:val="000000"/>
                <w:szCs w:val="21"/>
              </w:rPr>
              <w:t>13</w:t>
            </w:r>
          </w:p>
        </w:tc>
        <w:tc>
          <w:tcPr>
            <w:tcW w:w="100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资料</w:t>
            </w:r>
          </w:p>
          <w:p>
            <w:pPr>
              <w:widowControl/>
              <w:spacing w:line="400" w:lineRule="exact"/>
              <w:jc w:val="center"/>
              <w:rPr>
                <w:rFonts w:ascii="宋体" w:hAnsi="宋体" w:cs="宋体"/>
                <w:color w:val="000000"/>
                <w:kern w:val="0"/>
                <w:szCs w:val="21"/>
              </w:rPr>
            </w:pPr>
            <w:r>
              <w:rPr>
                <w:rFonts w:hint="eastAsia" w:ascii="宋体" w:hAnsi="宋体" w:cs="宋体"/>
                <w:color w:val="000000"/>
                <w:szCs w:val="21"/>
              </w:rPr>
              <w:t>管理</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szCs w:val="21"/>
              </w:rPr>
              <w:t>资料库</w:t>
            </w:r>
          </w:p>
        </w:tc>
        <w:tc>
          <w:tcPr>
            <w:tcW w:w="6544" w:type="dxa"/>
            <w:gridSpan w:val="3"/>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资料库管理，资料库内可存储医院各类制度、会议、培训、检查等资料；支持查看权限和编辑权限的设置；支持批量导入资料库文件夹；支持新建、删除、移动等操作；支持资料批量上传。资料库具有知识库管理和压缩包在线预览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14</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1"/>
                <w:szCs w:val="21"/>
              </w:rPr>
            </w:pP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szCs w:val="21"/>
              </w:rPr>
              <w:t>个人网盘</w:t>
            </w:r>
          </w:p>
        </w:tc>
        <w:tc>
          <w:tcPr>
            <w:tcW w:w="6544" w:type="dxa"/>
            <w:gridSpan w:val="3"/>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支持本地资料上传至个人网盘，支持文件夹新建，支持文件夹和文件删除、移动、重命名等操作。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w:t>
            </w:r>
            <w:r>
              <w:rPr>
                <w:rFonts w:hint="eastAsia" w:ascii="宋体" w:hAnsi="宋体" w:cs="宋体"/>
                <w:bCs/>
                <w:color w:val="000000"/>
                <w:szCs w:val="21"/>
              </w:rPr>
              <w:t>15</w:t>
            </w:r>
          </w:p>
        </w:tc>
        <w:tc>
          <w:tcPr>
            <w:tcW w:w="100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培训</w:t>
            </w:r>
          </w:p>
          <w:p>
            <w:pPr>
              <w:widowControl/>
              <w:spacing w:line="400" w:lineRule="exact"/>
              <w:jc w:val="center"/>
              <w:rPr>
                <w:rFonts w:ascii="宋体" w:hAnsi="宋体" w:cs="宋体"/>
                <w:color w:val="000000"/>
                <w:kern w:val="0"/>
                <w:szCs w:val="21"/>
              </w:rPr>
            </w:pPr>
            <w:r>
              <w:rPr>
                <w:rFonts w:hint="eastAsia" w:ascii="宋体" w:hAnsi="宋体" w:cs="宋体"/>
                <w:color w:val="000000"/>
                <w:szCs w:val="21"/>
              </w:rPr>
              <w:t>管理</w:t>
            </w:r>
          </w:p>
        </w:tc>
        <w:tc>
          <w:tcPr>
            <w:tcW w:w="1296"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szCs w:val="21"/>
              </w:rPr>
              <w:t>学习管理</w:t>
            </w:r>
          </w:p>
        </w:tc>
        <w:tc>
          <w:tcPr>
            <w:tcW w:w="6538" w:type="dxa"/>
            <w:gridSpan w:val="2"/>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新建学习任务，支持从本地添加学习资料，支持指定学习人员和学习时间，学习资料格式支持PPT、Word、Excel、图片、PDF、视频；支持电脑端进行学习；支持查看学习结果；支持学习资料关联考试，并将学习资料自动归档迎评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16</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1"/>
                <w:szCs w:val="21"/>
              </w:rPr>
            </w:pPr>
          </w:p>
        </w:tc>
        <w:tc>
          <w:tcPr>
            <w:tcW w:w="1296"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szCs w:val="21"/>
              </w:rPr>
              <w:t>考试管理</w:t>
            </w:r>
          </w:p>
        </w:tc>
        <w:tc>
          <w:tcPr>
            <w:tcW w:w="6538" w:type="dxa"/>
            <w:gridSpan w:val="2"/>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rPr>
              <w:t>支持医院新建题库、试卷库，可批量导入题目。</w:t>
            </w:r>
            <w:r>
              <w:rPr>
                <w:rFonts w:hint="eastAsia" w:ascii="宋体" w:hAnsi="宋体" w:cs="宋体"/>
                <w:color w:val="000000"/>
                <w:szCs w:val="21"/>
              </w:rPr>
              <w:t>支持新建、删除、编辑考试卷；支持试题手动添加和批量导入和从题库抽取题目</w:t>
            </w:r>
            <w:r>
              <w:rPr>
                <w:rFonts w:hint="eastAsia" w:ascii="宋体" w:hAnsi="宋体" w:cs="宋体"/>
                <w:color w:val="000000"/>
                <w:szCs w:val="21"/>
                <w:lang w:eastAsia="zh-CN"/>
              </w:rPr>
              <w:t>（</w:t>
            </w:r>
            <w:r>
              <w:rPr>
                <w:rFonts w:hint="eastAsia" w:ascii="宋体" w:hAnsi="宋体" w:cs="宋体"/>
                <w:color w:val="000000"/>
                <w:szCs w:val="21"/>
                <w:lang w:val="en-US" w:eastAsia="zh-CN"/>
              </w:rPr>
              <w:t>题库需医院自己维护）</w:t>
            </w:r>
            <w:r>
              <w:rPr>
                <w:rFonts w:hint="eastAsia" w:ascii="宋体" w:hAnsi="宋体" w:cs="宋体"/>
                <w:color w:val="000000"/>
                <w:szCs w:val="21"/>
              </w:rPr>
              <w:t>；支持指定考试人员和规定的考试次数、考试时间、支持进行题目随机设置；支持电脑端进行考试；支持自动评分；支持重考；支持考试统计结果导出，关联条款，并进行考试资料自动归档迎评台账。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bCs/>
                <w:color w:val="000000"/>
                <w:szCs w:val="21"/>
              </w:rPr>
              <w:t>17</w:t>
            </w:r>
          </w:p>
        </w:tc>
        <w:tc>
          <w:tcPr>
            <w:tcW w:w="100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自查</w:t>
            </w:r>
          </w:p>
          <w:p>
            <w:pPr>
              <w:widowControl/>
              <w:spacing w:line="400" w:lineRule="exact"/>
              <w:jc w:val="center"/>
              <w:rPr>
                <w:rFonts w:ascii="宋体" w:hAnsi="宋体" w:cs="宋体"/>
                <w:color w:val="000000"/>
                <w:kern w:val="0"/>
                <w:szCs w:val="21"/>
              </w:rPr>
            </w:pPr>
            <w:r>
              <w:rPr>
                <w:rFonts w:hint="eastAsia" w:ascii="宋体" w:hAnsi="宋体" w:cs="宋体"/>
                <w:color w:val="000000"/>
                <w:szCs w:val="21"/>
              </w:rPr>
              <w:t>考核</w:t>
            </w:r>
          </w:p>
        </w:tc>
        <w:tc>
          <w:tcPr>
            <w:tcW w:w="7834"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支持手动添加自查模板；支持模板批量导入；支持自查模板批量作废；支持模板设置编号、类别、名称、自查频次、自查人等，根据自查频次可以自动发起自查卷；支持自查模板权限管理。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18</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7834"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收到待办自查时能收到提醒；支持自查打分、上传图片并反馈自查当前问题和解决建议的输入；根据自查的类别不同，支持定期自查。支持所有已执行完成的自查表单统一归档，支持自己部门和上级领导对自查表单进行统计；统计结果支持数据或用曲线图柱状图等多种图表展示；支持按科室、日期等进行查询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19</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7834"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支持问题点信息抓取并可以反馈给科室成员，形成自查持续改进。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w:t>
            </w:r>
            <w:r>
              <w:rPr>
                <w:rFonts w:hint="eastAsia" w:ascii="宋体" w:hAnsi="宋体" w:cs="宋体"/>
                <w:bCs/>
                <w:color w:val="000000"/>
                <w:szCs w:val="21"/>
              </w:rPr>
              <w:t>20</w:t>
            </w:r>
          </w:p>
        </w:tc>
        <w:tc>
          <w:tcPr>
            <w:tcW w:w="100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督查</w:t>
            </w:r>
          </w:p>
          <w:p>
            <w:pPr>
              <w:widowControl/>
              <w:spacing w:line="400" w:lineRule="exact"/>
              <w:jc w:val="center"/>
              <w:rPr>
                <w:rFonts w:ascii="宋体" w:hAnsi="宋体" w:cs="宋体"/>
                <w:color w:val="000000"/>
                <w:kern w:val="0"/>
                <w:szCs w:val="21"/>
              </w:rPr>
            </w:pPr>
            <w:r>
              <w:rPr>
                <w:rFonts w:hint="eastAsia" w:ascii="宋体" w:hAnsi="宋体" w:cs="宋体"/>
                <w:color w:val="000000"/>
                <w:szCs w:val="21"/>
              </w:rPr>
              <w:t>考核</w:t>
            </w:r>
          </w:p>
        </w:tc>
        <w:tc>
          <w:tcPr>
            <w:tcW w:w="7834"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手动添加督查模板；支持模板批量导入；支持督查模板批量作废；支持模板设置编号、类别、名称、督查频次、督查人等，根据督查频次可以设置定时推送；发给相应督查人去督查相应科室；支持督查模板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21</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1"/>
                <w:szCs w:val="21"/>
              </w:rPr>
            </w:pPr>
          </w:p>
        </w:tc>
        <w:tc>
          <w:tcPr>
            <w:tcW w:w="7834"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收到待办督查时能收到提醒；支持督查打分、上传图片并反馈督查当前问题和解决建议的输入；根据督查的类别不同，支持定期督查。支持所有已执行完成的督查表单统一归档，支持自己部门和上级领导对督查表结果进行查看和统计；统计结果支持数据或用曲线图柱状图等多种图表展示；支持按科室、日期等进行查询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22</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1"/>
                <w:szCs w:val="21"/>
              </w:rPr>
            </w:pPr>
          </w:p>
        </w:tc>
        <w:tc>
          <w:tcPr>
            <w:tcW w:w="7834"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支持抓取同个问题不同科室情况和一个科室所有问题，并支持相互流通反馈，形成督查持续改进。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bCs/>
                <w:color w:val="000000"/>
                <w:szCs w:val="21"/>
              </w:rPr>
              <w:t>23</w:t>
            </w:r>
          </w:p>
        </w:tc>
        <w:tc>
          <w:tcPr>
            <w:tcW w:w="100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评价</w:t>
            </w:r>
          </w:p>
          <w:p>
            <w:pPr>
              <w:widowControl/>
              <w:spacing w:line="400" w:lineRule="exact"/>
              <w:jc w:val="center"/>
              <w:rPr>
                <w:rFonts w:ascii="宋体" w:hAnsi="宋体" w:cs="宋体"/>
                <w:color w:val="000000"/>
                <w:kern w:val="0"/>
                <w:szCs w:val="21"/>
              </w:rPr>
            </w:pPr>
            <w:r>
              <w:rPr>
                <w:rFonts w:hint="eastAsia" w:ascii="宋体" w:hAnsi="宋体" w:cs="宋体"/>
                <w:color w:val="000000"/>
                <w:szCs w:val="21"/>
              </w:rPr>
              <w:t>评审</w:t>
            </w:r>
          </w:p>
        </w:tc>
        <w:tc>
          <w:tcPr>
            <w:tcW w:w="7834"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针对评审条款支持发起自我评价和他人评审，</w:t>
            </w:r>
            <w:r>
              <w:rPr>
                <w:rFonts w:hint="eastAsia"/>
              </w:rPr>
              <w:t>支持单独发起自评/督评，可选择历史评价评审进行评价时的参考</w:t>
            </w:r>
            <w:r>
              <w:rPr>
                <w:rFonts w:hint="eastAsia" w:ascii="宋体" w:hAnsi="宋体" w:cs="宋体"/>
                <w:color w:val="000000"/>
                <w:szCs w:val="21"/>
              </w:rPr>
              <w:t>；支持设置评价评审时间；支持条款选择；支持评价评审人员选择；支持评价评审结果查看。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24</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1"/>
                <w:szCs w:val="21"/>
              </w:rPr>
            </w:pPr>
          </w:p>
        </w:tc>
        <w:tc>
          <w:tcPr>
            <w:tcW w:w="7834"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支持统计条款达标A/B/C/D/E的达成比例以及统计自评与督评的评价相符性情况。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25</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迎评</w:t>
            </w:r>
          </w:p>
          <w:p>
            <w:pPr>
              <w:widowControl/>
              <w:spacing w:line="400" w:lineRule="exact"/>
              <w:jc w:val="center"/>
              <w:rPr>
                <w:rFonts w:ascii="宋体" w:hAnsi="宋体" w:cs="宋体"/>
                <w:color w:val="000000"/>
                <w:kern w:val="0"/>
                <w:szCs w:val="21"/>
              </w:rPr>
            </w:pPr>
            <w:r>
              <w:rPr>
                <w:rFonts w:hint="eastAsia" w:ascii="宋体" w:hAnsi="宋体" w:cs="宋体"/>
                <w:color w:val="000000"/>
                <w:szCs w:val="21"/>
              </w:rPr>
              <w:t>管理</w:t>
            </w:r>
          </w:p>
        </w:tc>
        <w:tc>
          <w:tcPr>
            <w:tcW w:w="7834"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支持任务执行、制度上传、会议、学习、考试、自查、督查与条款关联，执行前中后的资料都按照条款归档存储，并生成台账资料；超级管理员拥有资料下载功能。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26</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进度</w:t>
            </w:r>
          </w:p>
          <w:p>
            <w:pPr>
              <w:widowControl/>
              <w:spacing w:line="400" w:lineRule="exact"/>
              <w:jc w:val="center"/>
              <w:rPr>
                <w:rFonts w:ascii="宋体" w:hAnsi="宋体" w:cs="宋体"/>
                <w:color w:val="000000"/>
                <w:kern w:val="0"/>
                <w:szCs w:val="21"/>
              </w:rPr>
            </w:pPr>
            <w:r>
              <w:rPr>
                <w:rFonts w:hint="eastAsia" w:ascii="宋体" w:hAnsi="宋体" w:cs="宋体"/>
                <w:color w:val="000000"/>
                <w:szCs w:val="21"/>
              </w:rPr>
              <w:t>统计</w:t>
            </w:r>
          </w:p>
        </w:tc>
        <w:tc>
          <w:tcPr>
            <w:tcW w:w="7834"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支持等级完成率等进度参照对比功能，可以按章/节/条/款、责任分组/科室/人员、时间段等列表对比统计，增加对等级评审迎评工作的进度把控。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27</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资讯</w:t>
            </w:r>
          </w:p>
          <w:p>
            <w:pPr>
              <w:widowControl/>
              <w:spacing w:line="400" w:lineRule="exact"/>
              <w:jc w:val="center"/>
              <w:rPr>
                <w:rFonts w:ascii="宋体" w:hAnsi="宋体" w:cs="宋体"/>
                <w:color w:val="000000"/>
                <w:kern w:val="0"/>
                <w:szCs w:val="21"/>
              </w:rPr>
            </w:pPr>
            <w:r>
              <w:rPr>
                <w:rFonts w:hint="eastAsia" w:ascii="宋体" w:hAnsi="宋体" w:cs="宋体"/>
                <w:color w:val="000000"/>
                <w:szCs w:val="21"/>
              </w:rPr>
              <w:t>管理</w:t>
            </w:r>
          </w:p>
        </w:tc>
        <w:tc>
          <w:tcPr>
            <w:tcW w:w="7834"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支持发布院内新闻、通知、公告等讯息，支持附件上传、关联条款（自行选择或选择自查督查模板），电脑端手机端首页可同步查看，便于员工及时掌握院内资讯，便于院内信息传播，形成良好的迎评氛围。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28</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会议</w:t>
            </w:r>
          </w:p>
          <w:p>
            <w:pPr>
              <w:widowControl/>
              <w:spacing w:line="400" w:lineRule="exact"/>
              <w:jc w:val="center"/>
              <w:rPr>
                <w:rFonts w:ascii="宋体" w:hAnsi="宋体" w:cs="宋体"/>
                <w:color w:val="000000"/>
                <w:kern w:val="0"/>
                <w:szCs w:val="21"/>
              </w:rPr>
            </w:pPr>
            <w:r>
              <w:rPr>
                <w:rFonts w:hint="eastAsia" w:ascii="宋体" w:hAnsi="宋体" w:cs="宋体"/>
                <w:color w:val="000000"/>
                <w:szCs w:val="21"/>
              </w:rPr>
              <w:t>室管理</w:t>
            </w:r>
          </w:p>
        </w:tc>
        <w:tc>
          <w:tcPr>
            <w:tcW w:w="7834"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支持内置医院内各会议室，便于新建会议时快速选择会议室，也支持申请需要预约的会议室。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30"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Cs/>
                <w:color w:val="000000"/>
                <w:kern w:val="0"/>
                <w:szCs w:val="21"/>
              </w:rPr>
            </w:pPr>
            <w:r>
              <w:rPr>
                <w:rFonts w:hint="eastAsia" w:ascii="宋体" w:hAnsi="宋体"/>
                <w:b/>
                <w:color w:val="000000"/>
                <w:szCs w:val="21"/>
              </w:rPr>
              <w:t>三、移动端（功能模块及技术参数）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★29</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新建</w:t>
            </w:r>
          </w:p>
          <w:p>
            <w:pPr>
              <w:widowControl/>
              <w:spacing w:line="400" w:lineRule="exact"/>
              <w:jc w:val="center"/>
              <w:rPr>
                <w:rFonts w:ascii="宋体" w:hAnsi="宋体" w:cs="宋体"/>
                <w:color w:val="000000"/>
                <w:kern w:val="0"/>
                <w:szCs w:val="21"/>
              </w:rPr>
            </w:pPr>
            <w:r>
              <w:rPr>
                <w:rFonts w:hint="eastAsia" w:ascii="宋体" w:hAnsi="宋体" w:cs="宋体"/>
                <w:color w:val="000000"/>
                <w:szCs w:val="21"/>
              </w:rPr>
              <w:t>任务</w:t>
            </w:r>
          </w:p>
        </w:tc>
        <w:tc>
          <w:tcPr>
            <w:tcW w:w="7834"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手机端新建任务，可以是日常任务或等级评审任务，接收任务、流转任务、执行任务、审批任务；支持任务筛选，可按不同时间段进行筛选。已完成的任务自动归档，对应的资料支持在线查看；支持移动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★30</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新建</w:t>
            </w:r>
          </w:p>
          <w:p>
            <w:pPr>
              <w:widowControl/>
              <w:spacing w:line="400" w:lineRule="exact"/>
              <w:jc w:val="center"/>
              <w:rPr>
                <w:rFonts w:ascii="宋体" w:hAnsi="宋体" w:cs="宋体"/>
                <w:color w:val="000000"/>
                <w:kern w:val="0"/>
                <w:szCs w:val="21"/>
              </w:rPr>
            </w:pPr>
            <w:r>
              <w:rPr>
                <w:rFonts w:hint="eastAsia" w:ascii="宋体" w:hAnsi="宋体" w:cs="宋体"/>
                <w:color w:val="000000"/>
                <w:szCs w:val="21"/>
              </w:rPr>
              <w:t>会议</w:t>
            </w:r>
          </w:p>
        </w:tc>
        <w:tc>
          <w:tcPr>
            <w:tcW w:w="7834"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支持新建会议、接收会议、回复是否参加会议、生成会议二维码、会议签到、上传会议照片和资料等；支持会议室申请、审批；支持筛选，可按不同日期进行筛选。已完成的会议自动归档，对应的资料支持在线查看；支持移动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★31</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自查</w:t>
            </w:r>
          </w:p>
          <w:p>
            <w:pPr>
              <w:widowControl/>
              <w:spacing w:line="400" w:lineRule="exact"/>
              <w:jc w:val="center"/>
              <w:rPr>
                <w:rFonts w:ascii="宋体" w:hAnsi="宋体" w:cs="宋体"/>
                <w:color w:val="000000"/>
                <w:kern w:val="0"/>
                <w:szCs w:val="21"/>
              </w:rPr>
            </w:pPr>
            <w:r>
              <w:rPr>
                <w:rFonts w:hint="eastAsia" w:ascii="宋体" w:hAnsi="宋体" w:cs="宋体"/>
                <w:color w:val="000000"/>
                <w:szCs w:val="21"/>
              </w:rPr>
              <w:t>考核</w:t>
            </w:r>
          </w:p>
        </w:tc>
        <w:tc>
          <w:tcPr>
            <w:tcW w:w="7834"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自查考核：收到自查表能提醒，能展现在待办自查栏中，根据检查项目填写检查结果，并上传图片，说明当前问题和解决建议；若检查结果存在问题，则进入自查持续改进，被查科室人员可选择改进方式、上传改进效果图片、填写改进措施和改进效果；完成的自查表陈列在我的自查中，显示自查结果、问题、改进情况。支持移动自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★32</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督查</w:t>
            </w:r>
          </w:p>
          <w:p>
            <w:pPr>
              <w:widowControl/>
              <w:spacing w:line="400" w:lineRule="exact"/>
              <w:jc w:val="center"/>
              <w:rPr>
                <w:rFonts w:ascii="宋体" w:hAnsi="宋体" w:cs="宋体"/>
                <w:color w:val="000000"/>
                <w:kern w:val="0"/>
                <w:szCs w:val="21"/>
              </w:rPr>
            </w:pPr>
            <w:r>
              <w:rPr>
                <w:rFonts w:hint="eastAsia" w:ascii="宋体" w:hAnsi="宋体" w:cs="宋体"/>
                <w:color w:val="000000"/>
                <w:szCs w:val="21"/>
              </w:rPr>
              <w:t>考核</w:t>
            </w:r>
          </w:p>
        </w:tc>
        <w:tc>
          <w:tcPr>
            <w:tcW w:w="7834"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督查考核：收到督查表能提醒，能展现在待办督查栏中，根据检查项目填写检查结果，并上传图片，说明当前问题和解决建议；若检查结果存在问题，则进入督查持续改进，被查科室人员可选择改进方式、上传改进效果图片、填写改进措施和改进效果；完成的督查表陈列在我的督查中，显示督查结果、问题、改进情况。支持移动督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33</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评审</w:t>
            </w:r>
          </w:p>
          <w:p>
            <w:pPr>
              <w:widowControl/>
              <w:spacing w:line="400" w:lineRule="exact"/>
              <w:jc w:val="center"/>
              <w:rPr>
                <w:rFonts w:ascii="宋体" w:hAnsi="宋体" w:cs="宋体"/>
                <w:color w:val="000000"/>
                <w:kern w:val="0"/>
                <w:szCs w:val="21"/>
              </w:rPr>
            </w:pPr>
            <w:r>
              <w:rPr>
                <w:rFonts w:hint="eastAsia" w:ascii="宋体" w:hAnsi="宋体" w:cs="宋体"/>
                <w:color w:val="000000"/>
                <w:szCs w:val="21"/>
              </w:rPr>
              <w:t>评价</w:t>
            </w:r>
          </w:p>
        </w:tc>
        <w:tc>
          <w:tcPr>
            <w:tcW w:w="7834"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评价评审能根据执行上传资料给予A/B/C</w:t>
            </w:r>
            <w:r>
              <w:rPr>
                <w:rFonts w:hint="eastAsia" w:ascii="宋体" w:hAnsi="宋体" w:cs="宋体"/>
                <w:bCs/>
                <w:color w:val="000000"/>
                <w:szCs w:val="21"/>
              </w:rPr>
              <w:t>/D/E</w:t>
            </w:r>
            <w:r>
              <w:rPr>
                <w:rFonts w:hint="eastAsia" w:ascii="宋体" w:hAnsi="宋体" w:cs="宋体"/>
                <w:color w:val="000000"/>
                <w:szCs w:val="21"/>
              </w:rPr>
              <w:t>评分，所有批次的已评价评审列表在已完成评价中。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★34</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szCs w:val="21"/>
              </w:rPr>
              <w:t>资料库</w:t>
            </w:r>
          </w:p>
        </w:tc>
        <w:tc>
          <w:tcPr>
            <w:tcW w:w="7834"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资料库能支持在允许权限下的资料查看，能快速模糊搜索相应的制度和资料；以提升效率，并逐步取代应知应会的纸质材料。在任务会议执行时可以从资料库中挑选相应的资料上传。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35</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个人</w:t>
            </w:r>
          </w:p>
          <w:p>
            <w:pPr>
              <w:widowControl/>
              <w:spacing w:line="400" w:lineRule="exact"/>
              <w:jc w:val="center"/>
              <w:rPr>
                <w:rFonts w:ascii="宋体" w:hAnsi="宋体" w:cs="宋体"/>
                <w:color w:val="000000"/>
                <w:kern w:val="0"/>
                <w:szCs w:val="21"/>
              </w:rPr>
            </w:pPr>
            <w:r>
              <w:rPr>
                <w:rFonts w:hint="eastAsia" w:ascii="宋体" w:hAnsi="宋体" w:cs="宋体"/>
                <w:color w:val="000000"/>
                <w:szCs w:val="21"/>
              </w:rPr>
              <w:t>网盘</w:t>
            </w:r>
          </w:p>
        </w:tc>
        <w:tc>
          <w:tcPr>
            <w:tcW w:w="7834"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个人网盘主要应用在内外网不通时的携带资料功能；在任务会议执行时可以从个人网盘中挑选相应的资料上传。可以把微信等处下载的资料收纳进入个人网盘。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★36</w:t>
            </w:r>
          </w:p>
        </w:tc>
        <w:tc>
          <w:tcPr>
            <w:tcW w:w="100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培训</w:t>
            </w:r>
          </w:p>
          <w:p>
            <w:pPr>
              <w:spacing w:line="360" w:lineRule="auto"/>
              <w:jc w:val="center"/>
              <w:rPr>
                <w:rFonts w:ascii="宋体" w:hAnsi="宋体" w:cs="宋体"/>
                <w:color w:val="000000"/>
                <w:kern w:val="0"/>
                <w:szCs w:val="21"/>
              </w:rPr>
            </w:pPr>
            <w:r>
              <w:rPr>
                <w:rFonts w:hint="eastAsia" w:ascii="宋体" w:hAnsi="宋体" w:cs="宋体"/>
                <w:color w:val="000000"/>
                <w:szCs w:val="21"/>
              </w:rPr>
              <w:t>管理</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szCs w:val="21"/>
              </w:rPr>
              <w:t>学习管理</w:t>
            </w:r>
          </w:p>
        </w:tc>
        <w:tc>
          <w:tcPr>
            <w:tcW w:w="6133"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能观看视频、PPT、Word、EXCEL和图片资料进行学习，并可以关联考试，以检验学习效率；学习人员可进行学习的转发；支持学习过程留痕并自动归档迎评资料。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★37</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1"/>
                <w:szCs w:val="21"/>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szCs w:val="21"/>
              </w:rPr>
              <w:t>考试管理</w:t>
            </w:r>
          </w:p>
        </w:tc>
        <w:tc>
          <w:tcPr>
            <w:tcW w:w="6133"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在线答题，并统计成绩，在考试时间过去后，可以查看成绩；可以重新考试，取第一次考分和最高分值留痕；考试人员可进行考试的转发；并自动归档迎评资料。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38</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1"/>
                <w:szCs w:val="21"/>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s="宋体"/>
                <w:color w:val="000000"/>
                <w:szCs w:val="21"/>
              </w:rPr>
              <w:t>积分管理</w:t>
            </w:r>
          </w:p>
        </w:tc>
        <w:tc>
          <w:tcPr>
            <w:tcW w:w="6133"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在完成学习和考试后，员工能够获得相应积分；可查看个人积分排名和科室积分排名以及自己的积分明细。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bCs/>
                <w:color w:val="000000"/>
                <w:szCs w:val="21"/>
              </w:rPr>
              <w:t>39</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进度</w:t>
            </w:r>
          </w:p>
          <w:p>
            <w:pPr>
              <w:widowControl/>
              <w:spacing w:line="400" w:lineRule="exact"/>
              <w:jc w:val="center"/>
              <w:rPr>
                <w:rFonts w:ascii="宋体" w:hAnsi="宋体" w:cs="宋体"/>
                <w:color w:val="000000"/>
                <w:kern w:val="0"/>
                <w:szCs w:val="21"/>
              </w:rPr>
            </w:pPr>
            <w:r>
              <w:rPr>
                <w:rFonts w:hint="eastAsia" w:ascii="宋体" w:hAnsi="宋体" w:cs="宋体"/>
                <w:color w:val="000000"/>
                <w:szCs w:val="21"/>
              </w:rPr>
              <w:t>统计</w:t>
            </w:r>
          </w:p>
        </w:tc>
        <w:tc>
          <w:tcPr>
            <w:tcW w:w="7834"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能在手机端根据全院、责任分组、牵头科室、责任人和章节条款、时间段进行任务型和评审型的进度统计功能。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30"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b/>
                <w:color w:val="000000"/>
                <w:szCs w:val="21"/>
              </w:rPr>
              <w:t>四、持续应用（功能模块及其技术参数）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40</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bCs/>
                <w:color w:val="000000"/>
                <w:szCs w:val="21"/>
              </w:rPr>
              <w:t>资料库、个人网盘</w:t>
            </w:r>
          </w:p>
        </w:tc>
        <w:tc>
          <w:tcPr>
            <w:tcW w:w="7834"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资料库和个人网盘可持续使用于其他项目和日常工作，帮助医院和个人进行资料管理、文件归档。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★41</w:t>
            </w:r>
          </w:p>
        </w:tc>
        <w:tc>
          <w:tcPr>
            <w:tcW w:w="100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bCs/>
                <w:color w:val="000000"/>
                <w:szCs w:val="21"/>
              </w:rPr>
              <w:t>任务管理</w:t>
            </w:r>
          </w:p>
        </w:tc>
        <w:tc>
          <w:tcPr>
            <w:tcW w:w="7834"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任务管理中支持导入其他项目的执行标准，形成新的专题任务和日常任务。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★42</w:t>
            </w: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1"/>
                <w:szCs w:val="21"/>
              </w:rPr>
            </w:pPr>
          </w:p>
        </w:tc>
        <w:tc>
          <w:tcPr>
            <w:tcW w:w="7834"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针对新的专题任务和日常任务，支持新建会议和执行任务、流转任务和审批任务。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★43</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bCs/>
                <w:color w:val="000000"/>
                <w:szCs w:val="21"/>
              </w:rPr>
              <w:t>学习考试管理</w:t>
            </w:r>
          </w:p>
        </w:tc>
        <w:tc>
          <w:tcPr>
            <w:tcW w:w="7834"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针对其他项目、专题任务、日常任务，支持使用学习和考试功能，使相关人员掌握知识，帮助项目顺利完成。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★44</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bCs/>
                <w:color w:val="000000"/>
                <w:szCs w:val="21"/>
              </w:rPr>
              <w:t>自查、督查考核</w:t>
            </w:r>
          </w:p>
        </w:tc>
        <w:tc>
          <w:tcPr>
            <w:tcW w:w="7834"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自查考核与督查考核同样适用于其他项目，可根据项目标准制定自查表和督查表，使项目质量得到保障。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★45</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bCs/>
                <w:color w:val="000000"/>
                <w:szCs w:val="21"/>
              </w:rPr>
              <w:t>移动端</w:t>
            </w:r>
          </w:p>
        </w:tc>
        <w:tc>
          <w:tcPr>
            <w:tcW w:w="7834"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安卓和苹果两个移动端同步支持，持续运用。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★46</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bCs/>
                <w:color w:val="000000"/>
                <w:szCs w:val="21"/>
              </w:rPr>
              <w:t>多项目同时管理</w:t>
            </w:r>
          </w:p>
        </w:tc>
        <w:tc>
          <w:tcPr>
            <w:tcW w:w="7834"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能支持多个项目同时应用。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30"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b/>
                <w:bCs/>
                <w:color w:val="000000"/>
                <w:kern w:val="0"/>
                <w:szCs w:val="21"/>
              </w:rPr>
            </w:pPr>
            <w:r>
              <w:rPr>
                <w:rFonts w:hint="eastAsia" w:ascii="宋体" w:hAnsi="宋体" w:cs="宋体"/>
                <w:b/>
                <w:bCs/>
                <w:color w:val="000000"/>
                <w:kern w:val="0"/>
                <w:szCs w:val="21"/>
              </w:rPr>
              <w:t>五、内置文件（功能模块及其技术参数）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bCs/>
                <w:color w:val="000000"/>
                <w:szCs w:val="21"/>
              </w:rPr>
              <w:t>47</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bCs/>
                <w:color w:val="000000"/>
                <w:szCs w:val="21"/>
              </w:rPr>
              <w:t>条款</w:t>
            </w:r>
          </w:p>
        </w:tc>
        <w:tc>
          <w:tcPr>
            <w:tcW w:w="7834" w:type="dxa"/>
            <w:gridSpan w:val="4"/>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软件内置条款为</w:t>
            </w:r>
            <w:r>
              <w:rPr>
                <w:rFonts w:hint="eastAsia" w:ascii="宋体" w:hAnsi="宋体" w:cs="宋体"/>
                <w:bCs/>
                <w:color w:val="000000"/>
                <w:szCs w:val="21"/>
              </w:rPr>
              <w:t>第四周期《</w:t>
            </w:r>
            <w:r>
              <w:rPr>
                <w:rFonts w:hint="eastAsia" w:ascii="宋体" w:hAnsi="宋体" w:cs="宋体"/>
                <w:color w:val="000000"/>
                <w:szCs w:val="21"/>
              </w:rPr>
              <w:t>浙江省</w:t>
            </w:r>
            <w:r>
              <w:rPr>
                <w:rFonts w:hint="eastAsia" w:ascii="宋体" w:hAnsi="宋体" w:cs="宋体"/>
                <w:color w:val="000000"/>
                <w:szCs w:val="21"/>
                <w:lang w:val="en-US" w:eastAsia="zh-CN"/>
              </w:rPr>
              <w:t>妇幼保健医院</w:t>
            </w:r>
            <w:r>
              <w:rPr>
                <w:rFonts w:hint="eastAsia" w:ascii="宋体" w:hAnsi="宋体" w:cs="宋体"/>
                <w:color w:val="000000"/>
                <w:szCs w:val="21"/>
              </w:rPr>
              <w:t>等级评审标准</w:t>
            </w:r>
            <w:r>
              <w:rPr>
                <w:rFonts w:hint="eastAsia" w:ascii="宋体" w:hAnsi="宋体" w:cs="宋体"/>
                <w:bCs/>
                <w:color w:val="000000"/>
                <w:szCs w:val="21"/>
              </w:rPr>
              <w:t>》三类指标；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48</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bCs/>
                <w:color w:val="000000"/>
                <w:szCs w:val="21"/>
              </w:rPr>
              <w:t>条款解读</w:t>
            </w:r>
          </w:p>
        </w:tc>
        <w:tc>
          <w:tcPr>
            <w:tcW w:w="7834"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软件内置</w:t>
            </w:r>
            <w:r>
              <w:rPr>
                <w:rFonts w:hint="eastAsia" w:ascii="宋体" w:hAnsi="宋体" w:cs="宋体"/>
                <w:bCs/>
                <w:color w:val="000000"/>
                <w:szCs w:val="21"/>
              </w:rPr>
              <w:t>第四周期《</w:t>
            </w:r>
            <w:r>
              <w:rPr>
                <w:rFonts w:hint="eastAsia" w:ascii="宋体" w:hAnsi="宋体" w:cs="宋体"/>
                <w:color w:val="000000"/>
                <w:szCs w:val="21"/>
              </w:rPr>
              <w:t>浙江省</w:t>
            </w:r>
            <w:r>
              <w:rPr>
                <w:rFonts w:hint="eastAsia" w:ascii="宋体" w:hAnsi="宋体" w:cs="宋体"/>
                <w:color w:val="000000"/>
                <w:szCs w:val="21"/>
                <w:lang w:val="en-US" w:eastAsia="zh-CN"/>
              </w:rPr>
              <w:t>妇幼保健医院</w:t>
            </w:r>
            <w:r>
              <w:rPr>
                <w:rFonts w:hint="eastAsia" w:ascii="宋体" w:hAnsi="宋体" w:cs="宋体"/>
                <w:color w:val="000000"/>
                <w:szCs w:val="21"/>
              </w:rPr>
              <w:t>等级评审标准</w:t>
            </w:r>
            <w:r>
              <w:rPr>
                <w:rFonts w:hint="eastAsia" w:ascii="宋体" w:hAnsi="宋体" w:cs="宋体"/>
                <w:bCs/>
                <w:color w:val="000000"/>
                <w:szCs w:val="21"/>
              </w:rPr>
              <w:t>》三类指标</w:t>
            </w:r>
            <w:r>
              <w:rPr>
                <w:rFonts w:hint="eastAsia" w:ascii="宋体" w:hAnsi="宋体" w:cs="宋体"/>
                <w:color w:val="000000"/>
                <w:szCs w:val="21"/>
              </w:rPr>
              <w:t>提供专家的专业解读，并预置在任务详情中；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49</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bCs/>
                <w:color w:val="000000"/>
                <w:szCs w:val="21"/>
              </w:rPr>
              <w:t>辅助资料</w:t>
            </w:r>
          </w:p>
        </w:tc>
        <w:tc>
          <w:tcPr>
            <w:tcW w:w="7834"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szCs w:val="21"/>
              </w:rPr>
              <w:t>软件为</w:t>
            </w:r>
            <w:r>
              <w:rPr>
                <w:rFonts w:hint="eastAsia" w:ascii="宋体" w:hAnsi="宋体" w:cs="宋体"/>
                <w:bCs/>
                <w:color w:val="000000"/>
                <w:szCs w:val="21"/>
              </w:rPr>
              <w:t>第四周期《</w:t>
            </w:r>
            <w:r>
              <w:rPr>
                <w:rFonts w:hint="eastAsia" w:ascii="宋体" w:hAnsi="宋体" w:cs="宋体"/>
                <w:color w:val="000000"/>
                <w:szCs w:val="21"/>
              </w:rPr>
              <w:t>浙江省</w:t>
            </w:r>
            <w:r>
              <w:rPr>
                <w:rFonts w:hint="eastAsia" w:ascii="宋体" w:hAnsi="宋体" w:cs="宋体"/>
                <w:color w:val="000000"/>
                <w:szCs w:val="21"/>
                <w:lang w:val="en-US" w:eastAsia="zh-CN"/>
              </w:rPr>
              <w:t>妇幼保健医院</w:t>
            </w:r>
            <w:r>
              <w:rPr>
                <w:rFonts w:hint="eastAsia" w:ascii="宋体" w:hAnsi="宋体" w:cs="宋体"/>
                <w:color w:val="000000"/>
                <w:szCs w:val="21"/>
              </w:rPr>
              <w:t>等级评审标准</w:t>
            </w:r>
            <w:r>
              <w:rPr>
                <w:rFonts w:hint="eastAsia" w:ascii="宋体" w:hAnsi="宋体" w:cs="宋体"/>
                <w:bCs/>
                <w:color w:val="000000"/>
                <w:szCs w:val="21"/>
              </w:rPr>
              <w:t>》三类指标</w:t>
            </w:r>
            <w:r>
              <w:rPr>
                <w:rFonts w:hint="eastAsia" w:ascii="宋体" w:hAnsi="宋体" w:cs="宋体"/>
                <w:color w:val="000000"/>
                <w:szCs w:val="21"/>
              </w:rPr>
              <w:t>包含匹配参考资料和模板（制度、法律法规）；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szCs w:val="21"/>
              </w:rPr>
            </w:pPr>
            <w:r>
              <w:rPr>
                <w:rFonts w:hint="eastAsia" w:ascii="宋体" w:hAnsi="宋体" w:cs="宋体"/>
                <w:color w:val="000000"/>
                <w:szCs w:val="21"/>
              </w:rPr>
              <w:t>★50</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000000"/>
                <w:kern w:val="0"/>
                <w:szCs w:val="21"/>
              </w:rPr>
            </w:pPr>
            <w:r>
              <w:rPr>
                <w:rFonts w:hint="eastAsia" w:ascii="宋体" w:hAnsi="宋体" w:cs="宋体"/>
                <w:bCs/>
                <w:color w:val="000000"/>
                <w:szCs w:val="21"/>
              </w:rPr>
              <w:t>自查、督查考核表</w:t>
            </w:r>
          </w:p>
        </w:tc>
        <w:tc>
          <w:tcPr>
            <w:tcW w:w="7834"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bCs/>
                <w:color w:val="000000"/>
                <w:szCs w:val="21"/>
              </w:rPr>
              <w:t>内容包含部分管理1、管理2、护理、医疗1、医疗2、药事、院感等模块日常质控考核查检单。</w:t>
            </w:r>
          </w:p>
        </w:tc>
      </w:tr>
    </w:tbl>
    <w:p/>
    <w:p>
      <w:pPr>
        <w:pStyle w:val="5"/>
      </w:pPr>
    </w:p>
    <w:p>
      <w:pPr>
        <w:numPr>
          <w:ilvl w:val="0"/>
          <w:numId w:val="0"/>
        </w:numPr>
        <w:rPr>
          <w:b/>
          <w:bCs/>
        </w:rPr>
      </w:pPr>
      <w:r>
        <w:rPr>
          <w:rFonts w:hint="eastAsia"/>
          <w:b/>
          <w:bCs/>
          <w:lang w:val="en-US" w:eastAsia="zh-CN"/>
        </w:rPr>
        <w:t>四、</w:t>
      </w:r>
      <w:r>
        <w:rPr>
          <w:rFonts w:hint="eastAsia"/>
          <w:b/>
          <w:bCs/>
        </w:rPr>
        <w:t>项目总体技术要求及商务要求</w:t>
      </w:r>
    </w:p>
    <w:p>
      <w:pPr>
        <w:numPr>
          <w:ilvl w:val="0"/>
          <w:numId w:val="4"/>
        </w:numPr>
        <w:rPr>
          <w:b/>
          <w:bCs/>
        </w:rPr>
      </w:pPr>
      <w:r>
        <w:rPr>
          <w:rFonts w:hint="eastAsia"/>
          <w:b/>
          <w:bCs/>
        </w:rPr>
        <w:t>总体技术要求</w:t>
      </w:r>
    </w:p>
    <w:p>
      <w:r>
        <w:rPr>
          <w:rFonts w:hint="eastAsia" w:ascii="宋体" w:hAnsi="宋体" w:cs="宋体"/>
          <w:color w:val="000000"/>
          <w:szCs w:val="21"/>
        </w:rPr>
        <w:t>★1.</w:t>
      </w:r>
      <w:r>
        <w:rPr>
          <w:rFonts w:hint="eastAsia"/>
        </w:rPr>
        <w:t>中标</w:t>
      </w:r>
      <w:r>
        <w:rPr>
          <w:rFonts w:hint="eastAsia"/>
          <w:lang w:val="en-US" w:eastAsia="zh-CN"/>
        </w:rPr>
        <w:t>后</w:t>
      </w:r>
      <w:r>
        <w:rPr>
          <w:rFonts w:hint="eastAsia"/>
        </w:rPr>
        <w:t>一周内</w:t>
      </w:r>
      <w:r>
        <w:rPr>
          <w:rFonts w:hint="eastAsia"/>
          <w:lang w:val="en-US" w:eastAsia="zh-CN"/>
        </w:rPr>
        <w:t>完成软件</w:t>
      </w:r>
      <w:r>
        <w:rPr>
          <w:rFonts w:hint="eastAsia"/>
        </w:rPr>
        <w:t>安装</w:t>
      </w:r>
      <w:r>
        <w:rPr>
          <w:rFonts w:hint="eastAsia"/>
          <w:lang w:val="en-US" w:eastAsia="zh-CN"/>
        </w:rPr>
        <w:t>部署</w:t>
      </w:r>
      <w:r>
        <w:rPr>
          <w:rFonts w:hint="eastAsia"/>
        </w:rPr>
        <w:t>，不满足功能则做废标处理。</w:t>
      </w:r>
    </w:p>
    <w:p>
      <w:r>
        <w:rPr>
          <w:rFonts w:hint="eastAsia" w:ascii="宋体" w:hAnsi="宋体" w:cs="宋体"/>
          <w:color w:val="000000"/>
          <w:szCs w:val="21"/>
        </w:rPr>
        <w:t>★2.</w:t>
      </w:r>
      <w:r>
        <w:rPr>
          <w:rFonts w:hint="eastAsia"/>
        </w:rPr>
        <w:t>软件支持长期医院精细化管理运用。</w:t>
      </w:r>
    </w:p>
    <w:p>
      <w:r>
        <w:rPr>
          <w:rFonts w:hint="eastAsia" w:ascii="宋体" w:hAnsi="宋体" w:eastAsia="宋体" w:cs="宋体"/>
          <w:color w:val="000000"/>
          <w:szCs w:val="21"/>
        </w:rPr>
        <w:t>★</w:t>
      </w:r>
      <w:r>
        <w:rPr>
          <w:rFonts w:hint="eastAsia" w:ascii="宋体" w:hAnsi="宋体" w:cs="宋体"/>
          <w:color w:val="000000"/>
          <w:szCs w:val="21"/>
          <w:lang w:val="en-US" w:eastAsia="zh-CN"/>
        </w:rPr>
        <w:t>3.</w:t>
      </w:r>
      <w:r>
        <w:rPr>
          <w:rFonts w:hint="eastAsia" w:ascii="宋体" w:hAnsi="宋体" w:cs="宋体"/>
          <w:color w:val="000000"/>
          <w:szCs w:val="21"/>
        </w:rPr>
        <w:t>在</w:t>
      </w:r>
      <w:r>
        <w:rPr>
          <w:rFonts w:hint="eastAsia"/>
        </w:rPr>
        <w:t>项目实施期间需提供项目负责人在软件验收前做好对医院信息技术人员的继续培训工作，做好软件运用人员使用培训，包含院级、职能科室、临床科室等不同层级培训。</w:t>
      </w:r>
    </w:p>
    <w:p>
      <w:pPr>
        <w:rPr>
          <w:b/>
          <w:bCs/>
        </w:rPr>
      </w:pPr>
    </w:p>
    <w:p>
      <w:pPr>
        <w:numPr>
          <w:ilvl w:val="0"/>
          <w:numId w:val="4"/>
        </w:numPr>
        <w:rPr>
          <w:b/>
          <w:bCs/>
        </w:rPr>
      </w:pPr>
      <w:r>
        <w:rPr>
          <w:rFonts w:hint="eastAsia"/>
          <w:b/>
          <w:bCs/>
        </w:rPr>
        <w:t>商务资质要求</w:t>
      </w:r>
    </w:p>
    <w:p>
      <w:pPr>
        <w:rPr>
          <w:rFonts w:hint="eastAsia" w:ascii="宋体" w:hAnsi="宋体" w:eastAsia="宋体" w:cs="宋体"/>
          <w:b w:val="0"/>
          <w:bCs w:val="0"/>
          <w:color w:val="auto"/>
        </w:rPr>
      </w:pPr>
      <w:r>
        <w:rPr>
          <w:rFonts w:hint="eastAsia" w:ascii="宋体" w:hAnsi="宋体" w:eastAsia="宋体" w:cs="宋体"/>
          <w:b w:val="0"/>
          <w:bCs w:val="0"/>
          <w:color w:val="auto"/>
        </w:rPr>
        <w:t>付款方式：签订合同后的五个工作日内，将合同金额的30%价款支</w:t>
      </w:r>
    </w:p>
    <w:p>
      <w:pPr>
        <w:rPr>
          <w:rFonts w:hint="eastAsia" w:ascii="宋体" w:hAnsi="宋体" w:eastAsia="宋体" w:cs="宋体"/>
          <w:b w:val="0"/>
          <w:bCs w:val="0"/>
          <w:color w:val="auto"/>
        </w:rPr>
      </w:pPr>
      <w:r>
        <w:rPr>
          <w:rFonts w:hint="eastAsia" w:ascii="宋体" w:hAnsi="宋体" w:eastAsia="宋体" w:cs="宋体"/>
          <w:b w:val="0"/>
          <w:bCs w:val="0"/>
          <w:color w:val="auto"/>
        </w:rPr>
        <w:t>付给乙方；软件部署</w:t>
      </w:r>
      <w:r>
        <w:rPr>
          <w:rFonts w:hint="eastAsia" w:ascii="宋体" w:hAnsi="宋体" w:cs="宋体"/>
          <w:b w:val="0"/>
          <w:bCs w:val="0"/>
          <w:color w:val="auto"/>
          <w:lang w:val="en-US" w:eastAsia="zh-CN"/>
        </w:rPr>
        <w:t>验收</w:t>
      </w:r>
      <w:r>
        <w:rPr>
          <w:rFonts w:hint="eastAsia" w:ascii="宋体" w:hAnsi="宋体" w:eastAsia="宋体" w:cs="宋体"/>
          <w:b w:val="0"/>
          <w:bCs w:val="0"/>
          <w:color w:val="auto"/>
        </w:rPr>
        <w:t>后的五个工作日内,将支付合同金额的65%价款；剩余合同金额的5%价款作为质保金，在软件</w:t>
      </w:r>
      <w:r>
        <w:rPr>
          <w:rFonts w:hint="eastAsia" w:ascii="宋体" w:hAnsi="宋体" w:cs="宋体"/>
          <w:b w:val="0"/>
          <w:bCs w:val="0"/>
          <w:color w:val="auto"/>
          <w:lang w:val="en-US" w:eastAsia="zh-CN"/>
        </w:rPr>
        <w:t>维保</w:t>
      </w:r>
      <w:r>
        <w:rPr>
          <w:rFonts w:hint="eastAsia" w:ascii="宋体" w:hAnsi="宋体" w:eastAsia="宋体" w:cs="宋体"/>
          <w:b w:val="0"/>
          <w:bCs w:val="0"/>
          <w:color w:val="auto"/>
        </w:rPr>
        <w:t>期满后的五个工作日内支付这笔款项。</w:t>
      </w:r>
    </w:p>
    <w:p>
      <w:pPr>
        <w:rPr>
          <w:rFonts w:hint="eastAsia" w:ascii="宋体" w:hAnsi="宋体" w:eastAsia="宋体" w:cs="宋体"/>
          <w:b/>
          <w:bCs/>
        </w:rPr>
      </w:pPr>
    </w:p>
    <w:p>
      <w:pPr>
        <w:numPr>
          <w:ilvl w:val="0"/>
          <w:numId w:val="4"/>
        </w:numPr>
        <w:rPr>
          <w:rFonts w:hint="eastAsia" w:ascii="宋体" w:hAnsi="宋体" w:eastAsia="宋体" w:cs="宋体"/>
          <w:b/>
          <w:bCs/>
        </w:rPr>
      </w:pPr>
      <w:r>
        <w:rPr>
          <w:rFonts w:hint="eastAsia" w:ascii="宋体" w:hAnsi="宋体" w:eastAsia="宋体" w:cs="宋体"/>
          <w:b/>
          <w:bCs/>
        </w:rPr>
        <w:t>质保要求</w:t>
      </w:r>
    </w:p>
    <w:p>
      <w:pPr>
        <w:numPr>
          <w:ilvl w:val="0"/>
          <w:numId w:val="5"/>
        </w:numPr>
        <w:rPr>
          <w:rFonts w:hint="eastAsia" w:ascii="宋体" w:hAnsi="宋体" w:eastAsia="宋体" w:cs="宋体"/>
        </w:rPr>
      </w:pPr>
      <w:r>
        <w:rPr>
          <w:rFonts w:hint="eastAsia" w:ascii="宋体" w:hAnsi="宋体" w:eastAsia="宋体" w:cs="宋体"/>
        </w:rPr>
        <w:t>做好医院信息系统的日常维护，保证软件系统的正常运行，完成定期的数据管理工作及日常的系统更新和升级工作。</w:t>
      </w:r>
    </w:p>
    <w:p>
      <w:pPr>
        <w:numPr>
          <w:ilvl w:val="0"/>
          <w:numId w:val="5"/>
        </w:numPr>
        <w:rPr>
          <w:rFonts w:hint="eastAsia" w:ascii="宋体" w:hAnsi="宋体" w:eastAsia="宋体" w:cs="宋体"/>
        </w:rPr>
      </w:pPr>
      <w:r>
        <w:rPr>
          <w:rFonts w:hint="eastAsia" w:ascii="宋体" w:hAnsi="宋体" w:eastAsia="宋体" w:cs="宋体"/>
        </w:rPr>
        <w:t>软件验收后，软件工程师需远程提供咨询服务，必要时现场指导，不得随意更换，更换前必须通知并取得业主单位同意。</w:t>
      </w:r>
    </w:p>
    <w:p>
      <w:pPr>
        <w:numPr>
          <w:ilvl w:val="0"/>
          <w:numId w:val="5"/>
        </w:numPr>
        <w:rPr>
          <w:rFonts w:hint="eastAsia" w:ascii="宋体" w:hAnsi="宋体" w:eastAsia="宋体" w:cs="宋体"/>
        </w:rPr>
      </w:pPr>
      <w:r>
        <w:rPr>
          <w:rFonts w:hint="eastAsia" w:ascii="宋体" w:hAnsi="宋体" w:eastAsia="宋体" w:cs="宋体"/>
        </w:rPr>
        <w:t>做好院方的数据安全保密工作，严禁私自调用医院数据做与业务不相干的工作；严禁在正式库上进行数据测试。</w:t>
      </w:r>
    </w:p>
    <w:p>
      <w:pPr>
        <w:numPr>
          <w:ilvl w:val="0"/>
          <w:numId w:val="5"/>
        </w:numPr>
        <w:rPr>
          <w:rFonts w:hint="eastAsia" w:ascii="宋体" w:hAnsi="宋体" w:eastAsia="宋体" w:cs="宋体"/>
        </w:rPr>
      </w:pPr>
      <w:r>
        <w:rPr>
          <w:rFonts w:hint="eastAsia" w:ascii="宋体" w:hAnsi="宋体" w:eastAsia="宋体" w:cs="宋体"/>
        </w:rPr>
        <w:t>工作时间内随时以电话、传真、电子邮件、 QQ 、微信、现场等方式免费提供所购产品的服务与技术支持维护给甲方。 2小时内负责响应，一般故障72小时内解决；对于特殊性的软件问题，在取得甲方谅解情况下，可以适当延长解决期限，故障排除后需做好详细售后记录，并做好汇总。</w:t>
      </w:r>
    </w:p>
    <w:p>
      <w:pPr>
        <w:rPr>
          <w:rFonts w:hint="eastAsia" w:ascii="宋体" w:hAnsi="宋体" w:eastAsia="宋体" w:cs="宋体"/>
        </w:rPr>
      </w:pPr>
      <w:r>
        <w:rPr>
          <w:rFonts w:hint="eastAsia" w:ascii="宋体" w:hAnsi="宋体" w:eastAsia="宋体" w:cs="宋体"/>
        </w:rPr>
        <w:t>重要问题及时与开发工程师沟通并寻求解决方法。</w:t>
      </w:r>
    </w:p>
    <w:p>
      <w:pPr>
        <w:numPr>
          <w:ilvl w:val="0"/>
          <w:numId w:val="5"/>
        </w:numPr>
        <w:rPr>
          <w:rFonts w:hint="eastAsia" w:ascii="宋体" w:hAnsi="宋体" w:eastAsia="宋体" w:cs="宋体"/>
        </w:rPr>
      </w:pPr>
      <w:r>
        <w:rPr>
          <w:rFonts w:hint="eastAsia" w:ascii="宋体" w:hAnsi="宋体" w:eastAsia="宋体" w:cs="宋体"/>
        </w:rPr>
        <w:t>应定期进行现场巡视，了解各应用系统的问题，及时答复相应科室。</w:t>
      </w:r>
    </w:p>
    <w:p>
      <w:pPr>
        <w:numPr>
          <w:ilvl w:val="0"/>
          <w:numId w:val="5"/>
        </w:numPr>
        <w:rPr>
          <w:b w:val="0"/>
          <w:bCs w:val="0"/>
          <w:color w:val="auto"/>
        </w:rPr>
      </w:pPr>
      <w:r>
        <w:rPr>
          <w:rFonts w:hint="eastAsia" w:ascii="宋体" w:hAnsi="宋体" w:cs="宋体"/>
          <w:b w:val="0"/>
          <w:bCs w:val="0"/>
          <w:color w:val="auto"/>
          <w:lang w:val="en-US" w:eastAsia="zh-CN"/>
        </w:rPr>
        <w:t>自院方</w:t>
      </w:r>
      <w:r>
        <w:rPr>
          <w:rFonts w:hint="eastAsia" w:ascii="宋体" w:hAnsi="宋体" w:eastAsia="宋体" w:cs="宋体"/>
          <w:b w:val="0"/>
          <w:bCs w:val="0"/>
          <w:color w:val="auto"/>
        </w:rPr>
        <w:t>验收之日起12个月内免维护费</w:t>
      </w:r>
      <w:r>
        <w:rPr>
          <w:rFonts w:hint="eastAsia" w:ascii="宋体" w:hAnsi="宋体" w:cs="宋体"/>
          <w:b w:val="0"/>
          <w:bCs w:val="0"/>
          <w:color w:val="auto"/>
          <w:lang w:eastAsia="zh-CN"/>
        </w:rPr>
        <w:t>。</w:t>
      </w: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DBB96"/>
    <w:multiLevelType w:val="singleLevel"/>
    <w:tmpl w:val="814DBB96"/>
    <w:lvl w:ilvl="0" w:tentative="0">
      <w:start w:val="1"/>
      <w:numFmt w:val="decimal"/>
      <w:suff w:val="space"/>
      <w:lvlText w:val="%1."/>
      <w:lvlJc w:val="left"/>
    </w:lvl>
  </w:abstractNum>
  <w:abstractNum w:abstractNumId="1">
    <w:nsid w:val="8F914106"/>
    <w:multiLevelType w:val="singleLevel"/>
    <w:tmpl w:val="8F914106"/>
    <w:lvl w:ilvl="0" w:tentative="0">
      <w:start w:val="1"/>
      <w:numFmt w:val="decimal"/>
      <w:pStyle w:val="4"/>
      <w:lvlText w:val="%1."/>
      <w:lvlJc w:val="left"/>
      <w:pPr>
        <w:ind w:left="425" w:hanging="425"/>
      </w:pPr>
      <w:rPr>
        <w:rFonts w:hint="default"/>
      </w:rPr>
    </w:lvl>
  </w:abstractNum>
  <w:abstractNum w:abstractNumId="2">
    <w:nsid w:val="F8A82FF6"/>
    <w:multiLevelType w:val="singleLevel"/>
    <w:tmpl w:val="F8A82FF6"/>
    <w:lvl w:ilvl="0" w:tentative="0">
      <w:start w:val="1"/>
      <w:numFmt w:val="chineseCounting"/>
      <w:pStyle w:val="3"/>
      <w:suff w:val="nothing"/>
      <w:lvlText w:val="（%1）"/>
      <w:lvlJc w:val="left"/>
      <w:pPr>
        <w:ind w:left="0" w:firstLine="420"/>
      </w:pPr>
      <w:rPr>
        <w:rFonts w:hint="eastAsia"/>
      </w:rPr>
    </w:lvl>
  </w:abstractNum>
  <w:abstractNum w:abstractNumId="3">
    <w:nsid w:val="25EBDCD8"/>
    <w:multiLevelType w:val="singleLevel"/>
    <w:tmpl w:val="25EBDCD8"/>
    <w:lvl w:ilvl="0" w:tentative="0">
      <w:start w:val="1"/>
      <w:numFmt w:val="chineseCounting"/>
      <w:pStyle w:val="2"/>
      <w:suff w:val="nothing"/>
      <w:lvlText w:val="%1、"/>
      <w:lvlJc w:val="left"/>
      <w:pPr>
        <w:ind w:left="0" w:firstLine="420"/>
      </w:pPr>
      <w:rPr>
        <w:rFonts w:hint="eastAsia"/>
      </w:rPr>
    </w:lvl>
  </w:abstractNum>
  <w:abstractNum w:abstractNumId="4">
    <w:nsid w:val="6C71F933"/>
    <w:multiLevelType w:val="singleLevel"/>
    <w:tmpl w:val="6C71F933"/>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yNjQ0MjVlYzNjYzBlNGQ4MjIzMDQ5NzE0YjZkODkifQ=="/>
  </w:docVars>
  <w:rsids>
    <w:rsidRoot w:val="0B891E52"/>
    <w:rsid w:val="000B5C26"/>
    <w:rsid w:val="001A7124"/>
    <w:rsid w:val="001D31ED"/>
    <w:rsid w:val="00462F1E"/>
    <w:rsid w:val="004F3F84"/>
    <w:rsid w:val="00561487"/>
    <w:rsid w:val="00671D9F"/>
    <w:rsid w:val="007C2E7D"/>
    <w:rsid w:val="008D47A3"/>
    <w:rsid w:val="009E6144"/>
    <w:rsid w:val="00C84BED"/>
    <w:rsid w:val="00DA0BB5"/>
    <w:rsid w:val="00FC025C"/>
    <w:rsid w:val="01991CDF"/>
    <w:rsid w:val="01BD087C"/>
    <w:rsid w:val="0459685C"/>
    <w:rsid w:val="085A61CC"/>
    <w:rsid w:val="0A9E12EE"/>
    <w:rsid w:val="0B891E52"/>
    <w:rsid w:val="0BBD6A1E"/>
    <w:rsid w:val="103C034D"/>
    <w:rsid w:val="105723B0"/>
    <w:rsid w:val="112F4B6E"/>
    <w:rsid w:val="11B815F3"/>
    <w:rsid w:val="143A4F2F"/>
    <w:rsid w:val="17631EAE"/>
    <w:rsid w:val="19DE001B"/>
    <w:rsid w:val="1AD600AE"/>
    <w:rsid w:val="1C852824"/>
    <w:rsid w:val="1E7D42AB"/>
    <w:rsid w:val="21EF7EDE"/>
    <w:rsid w:val="24414403"/>
    <w:rsid w:val="24CF07DD"/>
    <w:rsid w:val="25F94530"/>
    <w:rsid w:val="262927EC"/>
    <w:rsid w:val="267E4DF3"/>
    <w:rsid w:val="28675FE8"/>
    <w:rsid w:val="28BE029B"/>
    <w:rsid w:val="31CD4968"/>
    <w:rsid w:val="31DE4B1E"/>
    <w:rsid w:val="31EF25F8"/>
    <w:rsid w:val="34DF66D3"/>
    <w:rsid w:val="34F82E97"/>
    <w:rsid w:val="39A43062"/>
    <w:rsid w:val="3A331D87"/>
    <w:rsid w:val="3DB56605"/>
    <w:rsid w:val="3FD043DF"/>
    <w:rsid w:val="415B3F19"/>
    <w:rsid w:val="43075AA4"/>
    <w:rsid w:val="45F531DA"/>
    <w:rsid w:val="47BC17B3"/>
    <w:rsid w:val="48F271B2"/>
    <w:rsid w:val="494E4D4D"/>
    <w:rsid w:val="4A6F4C2B"/>
    <w:rsid w:val="4E7601D7"/>
    <w:rsid w:val="4E9F14AB"/>
    <w:rsid w:val="52ED517F"/>
    <w:rsid w:val="53E61C05"/>
    <w:rsid w:val="564779EE"/>
    <w:rsid w:val="56A61715"/>
    <w:rsid w:val="58906498"/>
    <w:rsid w:val="59637709"/>
    <w:rsid w:val="5A4B6B1B"/>
    <w:rsid w:val="5C7A5F17"/>
    <w:rsid w:val="5C9B4999"/>
    <w:rsid w:val="5DE42242"/>
    <w:rsid w:val="609E6DEC"/>
    <w:rsid w:val="626F32BC"/>
    <w:rsid w:val="696C479B"/>
    <w:rsid w:val="71FA43C0"/>
    <w:rsid w:val="73860337"/>
    <w:rsid w:val="73A0237D"/>
    <w:rsid w:val="74102411"/>
    <w:rsid w:val="747F6D6D"/>
    <w:rsid w:val="74C45397"/>
    <w:rsid w:val="76986D65"/>
    <w:rsid w:val="7734455E"/>
    <w:rsid w:val="7CED360A"/>
    <w:rsid w:val="7E1B2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6"/>
      <w:szCs w:val="26"/>
      <w:lang w:val="en-US" w:eastAsia="zh-CN" w:bidi="ar-SA"/>
    </w:rPr>
  </w:style>
  <w:style w:type="paragraph" w:styleId="2">
    <w:name w:val="heading 1"/>
    <w:basedOn w:val="1"/>
    <w:next w:val="1"/>
    <w:qFormat/>
    <w:uiPriority w:val="0"/>
    <w:pPr>
      <w:keepNext/>
      <w:keepLines/>
      <w:numPr>
        <w:ilvl w:val="0"/>
        <w:numId w:val="1"/>
      </w:numPr>
      <w:spacing w:line="576" w:lineRule="auto"/>
      <w:outlineLvl w:val="0"/>
    </w:pPr>
    <w:rPr>
      <w:rFonts w:asciiTheme="minorHAnsi" w:hAnsiTheme="minorHAnsi"/>
      <w:b/>
      <w:kern w:val="44"/>
      <w:sz w:val="32"/>
    </w:rPr>
  </w:style>
  <w:style w:type="paragraph" w:styleId="3">
    <w:name w:val="heading 2"/>
    <w:basedOn w:val="1"/>
    <w:next w:val="1"/>
    <w:semiHidden/>
    <w:unhideWhenUsed/>
    <w:qFormat/>
    <w:uiPriority w:val="0"/>
    <w:pPr>
      <w:keepNext/>
      <w:keepLines/>
      <w:numPr>
        <w:ilvl w:val="0"/>
        <w:numId w:val="2"/>
      </w:numPr>
      <w:spacing w:line="413" w:lineRule="auto"/>
      <w:outlineLvl w:val="1"/>
    </w:pPr>
    <w:rPr>
      <w:rFonts w:ascii="Arial" w:hAnsi="Arial" w:eastAsia="黑体"/>
      <w:sz w:val="30"/>
    </w:rPr>
  </w:style>
  <w:style w:type="paragraph" w:styleId="4">
    <w:name w:val="heading 3"/>
    <w:basedOn w:val="1"/>
    <w:next w:val="1"/>
    <w:semiHidden/>
    <w:unhideWhenUsed/>
    <w:qFormat/>
    <w:uiPriority w:val="0"/>
    <w:pPr>
      <w:keepNext/>
      <w:keepLines/>
      <w:numPr>
        <w:ilvl w:val="0"/>
        <w:numId w:val="3"/>
      </w:numPr>
      <w:spacing w:line="240" w:lineRule="atLeast"/>
      <w:outlineLvl w:val="2"/>
    </w:pPr>
    <w:rPr>
      <w:rFonts w:asciiTheme="minorHAnsi" w:hAnsiTheme="minorHAnsi"/>
      <w:b/>
      <w:sz w:val="28"/>
    </w:rPr>
  </w:style>
  <w:style w:type="character" w:default="1" w:styleId="11">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pPr>
      <w:spacing w:after="120"/>
    </w:pPr>
    <w:rPr>
      <w:sz w:val="2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0">
    <w:name w:val="Light List Accent 1"/>
    <w:basedOn w:val="8"/>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paragraph" w:customStyle="1" w:styleId="12">
    <w:name w:val="正文段"/>
    <w:basedOn w:val="1"/>
    <w:qFormat/>
    <w:uiPriority w:val="0"/>
    <w:pPr>
      <w:widowControl/>
      <w:snapToGrid w:val="0"/>
      <w:spacing w:afterLines="50"/>
      <w:ind w:firstLine="200" w:firstLineChars="200"/>
    </w:pPr>
    <w:rPr>
      <w:kern w:val="0"/>
      <w:sz w:val="24"/>
      <w:szCs w:val="20"/>
    </w:rPr>
  </w:style>
  <w:style w:type="character" w:customStyle="1" w:styleId="13">
    <w:name w:val="cn_91"/>
    <w:qFormat/>
    <w:uiPriority w:val="0"/>
    <w:rPr>
      <w:color w:val="000099"/>
      <w:sz w:val="18"/>
      <w:szCs w:val="18"/>
    </w:rPr>
  </w:style>
  <w:style w:type="character" w:customStyle="1" w:styleId="14">
    <w:name w:val="页眉 字符"/>
    <w:basedOn w:val="11"/>
    <w:link w:val="7"/>
    <w:qFormat/>
    <w:uiPriority w:val="0"/>
    <w:rPr>
      <w:kern w:val="2"/>
      <w:sz w:val="18"/>
      <w:szCs w:val="18"/>
    </w:rPr>
  </w:style>
  <w:style w:type="character" w:customStyle="1" w:styleId="15">
    <w:name w:val="页脚 字符"/>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4998</Words>
  <Characters>5095</Characters>
  <Lines>44</Lines>
  <Paragraphs>12</Paragraphs>
  <TotalTime>1</TotalTime>
  <ScaleCrop>false</ScaleCrop>
  <LinksUpToDate>false</LinksUpToDate>
  <CharactersWithSpaces>5100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2020-10-27T01:50:00Z</dcterms:created>
  <dc:creator>Administrator</dc:creator>
  <cp:lastModifiedBy>铅丝</cp:lastModifiedBy>
  <dcterms:modified xsi:type="dcterms:W3CDTF">2022-09-27T09:04:11Z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2656E9E1D798479FB993023AC134581F</vt:lpwstr>
  </property>
</Properties>
</file>