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Style w:val="33"/>
          <w:rFonts w:hint="eastAsia" w:ascii="微软雅黑" w:hAnsi="微软雅黑" w:eastAsia="微软雅黑" w:cs="微软雅黑"/>
          <w:b/>
          <w:bCs/>
          <w:sz w:val="36"/>
          <w:szCs w:val="36"/>
          <w:lang w:eastAsia="zh-CN"/>
        </w:rPr>
      </w:pPr>
    </w:p>
    <w:p>
      <w:pPr>
        <w:spacing w:line="500" w:lineRule="exact"/>
        <w:jc w:val="center"/>
        <w:rPr>
          <w:rFonts w:hint="eastAsia" w:ascii="微软雅黑" w:hAnsi="微软雅黑" w:eastAsia="微软雅黑" w:cs="微软雅黑"/>
          <w:b/>
          <w:bCs/>
          <w:sz w:val="36"/>
          <w:szCs w:val="36"/>
        </w:rPr>
      </w:pPr>
      <w:r>
        <w:rPr>
          <w:rStyle w:val="33"/>
          <w:rFonts w:hint="eastAsia" w:ascii="微软雅黑" w:hAnsi="微软雅黑" w:eastAsia="微软雅黑" w:cs="微软雅黑"/>
          <w:b/>
          <w:bCs/>
          <w:sz w:val="36"/>
          <w:szCs w:val="36"/>
          <w:lang w:eastAsia="zh-CN"/>
        </w:rPr>
        <w:t>院科全成本与效益核算管理系统项目建设</w:t>
      </w:r>
    </w:p>
    <w:p>
      <w:p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技术规范和</w:t>
      </w:r>
      <w:r>
        <w:rPr>
          <w:rStyle w:val="33"/>
          <w:rFonts w:hint="eastAsia" w:ascii="微软雅黑" w:hAnsi="微软雅黑" w:eastAsia="微软雅黑" w:cs="微软雅黑"/>
          <w:b/>
          <w:bCs/>
          <w:sz w:val="36"/>
          <w:szCs w:val="36"/>
        </w:rPr>
        <w:t>参数</w:t>
      </w:r>
      <w:r>
        <w:rPr>
          <w:rFonts w:hint="eastAsia" w:ascii="微软雅黑" w:hAnsi="微软雅黑" w:eastAsia="微软雅黑" w:cs="微软雅黑"/>
          <w:b/>
          <w:bCs/>
          <w:sz w:val="36"/>
          <w:szCs w:val="36"/>
        </w:rPr>
        <w:t>要求</w:t>
      </w:r>
    </w:p>
    <w:sdt>
      <w:sdtPr>
        <w:rPr>
          <w:rFonts w:hint="eastAsia" w:ascii="微软雅黑" w:hAnsi="微软雅黑" w:eastAsia="微软雅黑" w:cs="微软雅黑"/>
          <w:kern w:val="2"/>
          <w:sz w:val="28"/>
          <w:szCs w:val="28"/>
          <w:lang w:val="en-US" w:eastAsia="zh-CN" w:bidi="ar-SA"/>
        </w:rPr>
        <w:id w:val="147454603"/>
        <w15:color w:val="DBDBDB"/>
        <w:docPartObj>
          <w:docPartGallery w:val="Table of Contents"/>
          <w:docPartUnique/>
        </w:docPartObj>
      </w:sdtPr>
      <w:sdtEndPr>
        <w:rPr>
          <w:rFonts w:hint="eastAsia" w:ascii="宋体" w:hAnsi="宋体" w:eastAsia="宋体" w:cs="Calibri"/>
          <w:b/>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微软雅黑" w:hAnsi="微软雅黑" w:eastAsia="微软雅黑" w:cs="微软雅黑"/>
              <w:sz w:val="28"/>
              <w:szCs w:val="28"/>
            </w:rPr>
          </w:pPr>
          <w:bookmarkStart w:id="12" w:name="_GoBack"/>
          <w:bookmarkEnd w:id="12"/>
        </w:p>
        <w:p>
          <w:pPr>
            <w:pStyle w:val="19"/>
            <w:tabs>
              <w:tab w:val="right" w:leader="dot" w:pos="8306"/>
            </w:tabs>
          </w:pPr>
          <w:bookmarkStart w:id="0" w:name="_Toc5201"/>
          <w:bookmarkEnd w:id="0"/>
          <w:bookmarkStart w:id="1" w:name="_Toc12804"/>
        </w:p>
      </w:sdtContent>
    </w:sdt>
    <w:p>
      <w:pPr>
        <w:pStyle w:val="19"/>
        <w:tabs>
          <w:tab w:val="right" w:leader="dot" w:pos="8306"/>
        </w:tabs>
        <w:rPr>
          <w:rStyle w:val="33"/>
          <w:rFonts w:hint="eastAsia" w:ascii="微软雅黑" w:hAnsi="微软雅黑" w:eastAsia="微软雅黑" w:cs="微软雅黑"/>
          <w:b/>
          <w:bCs/>
          <w:sz w:val="28"/>
          <w:szCs w:val="28"/>
          <w:lang w:eastAsia="zh-CN"/>
        </w:rPr>
      </w:pPr>
      <w:r>
        <w:rPr>
          <w:rStyle w:val="33"/>
          <w:rFonts w:hint="eastAsia" w:ascii="微软雅黑" w:hAnsi="微软雅黑" w:eastAsia="微软雅黑" w:cs="微软雅黑"/>
          <w:b/>
          <w:bCs/>
          <w:sz w:val="28"/>
          <w:szCs w:val="28"/>
          <w:lang w:val="en-US" w:eastAsia="zh-CN"/>
        </w:rPr>
        <w:t>一、</w:t>
      </w:r>
      <w:r>
        <w:rPr>
          <w:rStyle w:val="33"/>
          <w:rFonts w:hint="eastAsia" w:ascii="微软雅黑" w:hAnsi="微软雅黑" w:eastAsia="微软雅黑" w:cs="微软雅黑"/>
          <w:b/>
          <w:bCs/>
          <w:sz w:val="28"/>
          <w:szCs w:val="28"/>
          <w:lang w:eastAsia="zh-CN"/>
        </w:rPr>
        <w:t>项目建设系统内容需求及功能清单：</w:t>
      </w:r>
      <w:bookmarkEnd w:id="1"/>
    </w:p>
    <w:p>
      <w:pPr>
        <w:pStyle w:val="21"/>
        <w:rPr>
          <w:rFonts w:hint="eastAsia"/>
        </w:rPr>
      </w:pPr>
    </w:p>
    <w:p>
      <w:pPr>
        <w:pStyle w:val="5"/>
        <w:numPr>
          <w:ilvl w:val="0"/>
          <w:numId w:val="0"/>
        </w:numPr>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院科全成本与效益核算管理系统功能清单：</w:t>
      </w:r>
    </w:p>
    <w:tbl>
      <w:tblPr>
        <w:tblStyle w:val="23"/>
        <w:tblpPr w:leftFromText="180" w:rightFromText="180" w:vertAnchor="text" w:tblpXSpec="center" w:tblpY="1"/>
        <w:tblOverlap w:val="never"/>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818"/>
        <w:gridCol w:w="5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25" w:type="dxa"/>
            <w:shd w:val="clear" w:color="auto" w:fill="0070C0"/>
            <w:noWrap w:val="0"/>
            <w:vAlign w:val="center"/>
          </w:tcPr>
          <w:p>
            <w:pPr>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bCs/>
                <w:color w:val="000000"/>
                <w:kern w:val="0"/>
                <w:sz w:val="24"/>
                <w:szCs w:val="24"/>
                <w:lang w:val="en-US" w:eastAsia="zh-CN" w:bidi="ar-SA"/>
              </w:rPr>
              <w:t>系统名称</w:t>
            </w:r>
          </w:p>
        </w:tc>
        <w:tc>
          <w:tcPr>
            <w:tcW w:w="2818" w:type="dxa"/>
            <w:shd w:val="clear" w:color="auto" w:fill="0070C0"/>
            <w:noWrap w:val="0"/>
            <w:vAlign w:val="center"/>
          </w:tcPr>
          <w:p>
            <w:pPr>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bCs/>
                <w:color w:val="000000"/>
                <w:kern w:val="0"/>
                <w:sz w:val="24"/>
                <w:szCs w:val="24"/>
              </w:rPr>
              <w:t>功能模块名称</w:t>
            </w:r>
          </w:p>
        </w:tc>
        <w:tc>
          <w:tcPr>
            <w:tcW w:w="5445" w:type="dxa"/>
            <w:shd w:val="clear" w:color="auto" w:fill="0070C0"/>
            <w:noWrap w:val="0"/>
            <w:vAlign w:val="center"/>
          </w:tcPr>
          <w:p>
            <w:pPr>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bCs/>
                <w:color w:val="000000"/>
                <w:kern w:val="0"/>
                <w:sz w:val="24"/>
                <w:szCs w:val="24"/>
              </w:rPr>
              <w:t>功能</w:t>
            </w:r>
            <w:r>
              <w:rPr>
                <w:rFonts w:hint="eastAsia" w:ascii="微软雅黑" w:hAnsi="微软雅黑" w:eastAsia="微软雅黑" w:cs="微软雅黑"/>
                <w:b/>
                <w:bCs/>
                <w:color w:val="000000"/>
                <w:kern w:val="0"/>
                <w:sz w:val="24"/>
                <w:szCs w:val="24"/>
                <w:lang w:eastAsia="zh-CN"/>
              </w:rPr>
              <w:t>主要</w:t>
            </w:r>
            <w:r>
              <w:rPr>
                <w:rFonts w:hint="eastAsia" w:ascii="微软雅黑" w:hAnsi="微软雅黑" w:eastAsia="微软雅黑" w:cs="微软雅黑"/>
                <w:b/>
                <w:bCs/>
                <w:color w:val="000000"/>
                <w:kern w:val="0"/>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restart"/>
            <w:noWrap w:val="0"/>
            <w:vAlign w:val="top"/>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院</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科</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全</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成</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本</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与</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效</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益</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核</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算</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管</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理</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系</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统</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bCs/>
                <w:color w:val="000000"/>
                <w:sz w:val="24"/>
                <w:szCs w:val="24"/>
                <w:vertAlign w:val="baseline"/>
                <w:lang w:val="en-US" w:eastAsia="zh-CN"/>
              </w:rPr>
              <w:t>基础信息管理</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院区集团信息</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支持按院区集团、医联体、医共体组织架构进行全成本与效益核算。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核算科室体系</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成本核算科室体系基本信息维护，成本分摊属性设置，成本分难归集方法、成本分摊基准以及分摊对象设置。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职工档案信息</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职工档案基本信息设置，导入、导出、打印、生成科室人数、生成职工与科室的对照关系等功能。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职工历史信息</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按会计期间保存职工</w:t>
            </w:r>
            <w:r>
              <w:rPr>
                <w:rFonts w:hint="eastAsia" w:ascii="微软雅黑" w:hAnsi="微软雅黑" w:eastAsia="微软雅黑" w:cs="微软雅黑"/>
                <w:sz w:val="24"/>
                <w:szCs w:val="24"/>
                <w:vertAlign w:val="baseline"/>
                <w:lang w:val="en-US" w:eastAsia="zh-CN"/>
              </w:rPr>
              <w:t>所属科室、职务、职称等</w:t>
            </w:r>
            <w:r>
              <w:rPr>
                <w:rFonts w:hint="eastAsia" w:ascii="微软雅黑" w:hAnsi="微软雅黑" w:eastAsia="微软雅黑" w:cs="微软雅黑"/>
                <w:sz w:val="24"/>
                <w:szCs w:val="24"/>
                <w:vertAlign w:val="baseline"/>
                <w:lang w:eastAsia="zh-CN"/>
              </w:rPr>
              <w:t>历史信息，支持</w:t>
            </w:r>
            <w:r>
              <w:rPr>
                <w:rFonts w:hint="eastAsia" w:ascii="微软雅黑" w:hAnsi="微软雅黑" w:eastAsia="微软雅黑" w:cs="微软雅黑"/>
                <w:sz w:val="24"/>
                <w:szCs w:val="24"/>
                <w:vertAlign w:val="baseline"/>
                <w:lang w:val="en-US" w:eastAsia="zh-CN"/>
              </w:rPr>
              <w:t>追溯查询等功能</w:t>
            </w:r>
            <w:r>
              <w:rPr>
                <w:rFonts w:hint="eastAsia" w:ascii="微软雅黑" w:hAnsi="微软雅黑" w:eastAsia="微软雅黑" w:cs="微软雅黑"/>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成本核算项目</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成本核算项目基本信息维护，成本习性、可控性、成本归集方案，以及全院成本费用分摊基准以及分摊对象设置等功能。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leftChars="0" w:right="0" w:firstLine="240" w:firstLineChars="10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科室信息项目</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科室信息项目</w:t>
            </w:r>
            <w:r>
              <w:rPr>
                <w:rFonts w:hint="eastAsia" w:ascii="微软雅黑" w:hAnsi="微软雅黑" w:eastAsia="微软雅黑" w:cs="微软雅黑"/>
                <w:sz w:val="24"/>
                <w:szCs w:val="24"/>
                <w:vertAlign w:val="baseline"/>
                <w:lang w:val="en-US" w:eastAsia="zh-CN"/>
              </w:rPr>
              <w:t>基本信息设置，导入、导出、打印、信息数据来源公式设置，自动结转设置等功能。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项目属性设置</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成本项目属性</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标准成本项目、成本习性、成本可控性等分类设置，有助于成本支持按属性分类进行报表数据统计分析。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成本项目属性定义</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快速完成成本项目的成本各项分类快速对照设置。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核算科室属性</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支持多套核算科室体系设置，并按多套科室体系进行报表数据统计分析。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核算科室属性定义</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快速完成核算科室的多套科室体系快速对照设置。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分摊项目属性</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分摊标准信息项目设置。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分摊项目属性定义</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快速完成分摊信息项目快速自动或手动对照设置。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物资材料字典</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同步总务、设备等库房卫生材料、办公材料、医用材料等字典信息。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内部服务项目</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对医院供应、洗衣、维修等内部服务项目及价格维护。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科室性质分摊</w:t>
            </w:r>
          </w:p>
        </w:tc>
        <w:tc>
          <w:tcPr>
            <w:tcW w:w="5445" w:type="dxa"/>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完成成本性质分摊流程灵活设置，支持次序分摊、交互分摊、直接分摊等多种分摊方式。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收入核算项目</w:t>
            </w:r>
          </w:p>
        </w:tc>
        <w:tc>
          <w:tcPr>
            <w:tcW w:w="5445" w:type="dxa"/>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收入核算项目基本信息维护，医疗、药品收入类别、收入默认执行科室设置等功能。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eastAsia="zh-CN"/>
              </w:rPr>
              <w:t>项目属性设置</w:t>
            </w:r>
          </w:p>
        </w:tc>
        <w:tc>
          <w:tcPr>
            <w:tcW w:w="5445" w:type="dxa"/>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 xml:space="preserve">    收入项目属性</w:t>
            </w:r>
          </w:p>
        </w:tc>
        <w:tc>
          <w:tcPr>
            <w:tcW w:w="5445" w:type="dxa"/>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标准收入项目、收入类别设置，有助于成本支持按属性分类进行报表数据统计分析。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 xml:space="preserve">    收入项目属性定义</w:t>
            </w:r>
          </w:p>
        </w:tc>
        <w:tc>
          <w:tcPr>
            <w:tcW w:w="5445" w:type="dxa"/>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快速完成收入项目的收入各项分类快速对照设置。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医疗收费项目</w:t>
            </w:r>
          </w:p>
        </w:tc>
        <w:tc>
          <w:tcPr>
            <w:tcW w:w="5445" w:type="dxa"/>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eastAsia="zh-CN"/>
              </w:rPr>
              <w:t>同步</w:t>
            </w:r>
            <w:r>
              <w:rPr>
                <w:rFonts w:hint="eastAsia" w:ascii="微软雅黑" w:hAnsi="微软雅黑" w:eastAsia="微软雅黑" w:cs="微软雅黑"/>
                <w:sz w:val="24"/>
                <w:szCs w:val="24"/>
                <w:vertAlign w:val="baseline"/>
                <w:lang w:val="en-US" w:eastAsia="zh-CN"/>
              </w:rPr>
              <w:t>HIS系统的</w:t>
            </w:r>
            <w:r>
              <w:rPr>
                <w:rFonts w:hint="eastAsia" w:ascii="微软雅黑" w:hAnsi="微软雅黑" w:eastAsia="微软雅黑" w:cs="微软雅黑"/>
                <w:sz w:val="24"/>
                <w:szCs w:val="24"/>
                <w:vertAlign w:val="baseline"/>
                <w:lang w:eastAsia="zh-CN"/>
              </w:rPr>
              <w:t>医疗服务项目大类、明细项目等基本信息。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b/>
                <w:bCs/>
                <w:color w:val="000000"/>
                <w:sz w:val="24"/>
                <w:szCs w:val="24"/>
                <w:vertAlign w:val="baseline"/>
                <w:lang w:val="en-US" w:eastAsia="zh-CN"/>
              </w:rPr>
              <w:t>院科成本核算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全院归集费用分摊</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全院归集费用分摊中介</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全院费用分摊可以通过分摊中介，实现一个全院归集费用采用多种分摊方案，使分摊成本数据更为准确。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全院归集费用分摊方案</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采用多种选译方法，快速实现全院归集费用的分摊受益科室对象及分摊标准。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科室间接成本分摊</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科室间接成本分摊中介</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科室间接成本分摊可以通过分摊中介，实现一个费用中心的科室采用多种分摊方案，使间接成本分摊数据更为准确。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科室间接成本分摊方案</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采用多种选译方法，快速实现费用中心科室间接成本的分摊受益科室对象及分摊标准。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科室信息数据采集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支持科室信息数据直接录入、EXCEL导入，以及从其他系统接口自动采集数据等多种方式，并可以按多种条件查询，删除、导出、打印等功能。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分摊中介数据采集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全院归集费用中介信息</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支持全院归集费用中介直接录入、EXCEL导入，以及从其他系统接口自动采集数据等多种方式，并可以按多种条件查询，删除、导出、打印等功能。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科室成本分摊中介信息</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支持科室成本分摊中介直接录入、EXCEL导入，以及从其他系统接口自动采集数据等多种方式，并可以按多种条件查询，删除、导出、打印等功能。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职工直接成本采集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职工每月考勤信息</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支持职工每月考勤信息数据直接录入、EXCEL导入，以及从其他系统接口自动采集数据等多种方式，并可以按多种条件查询，删除、导出、打印等功能。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职工每月考勤统计</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支持对职工每月考勤信息按职工所在科室天数进行统计。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职工直接成本采集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支持职工直接成本直接录入、EXCEL导入，以及从其他系统接口自动采集数据等多种方式，并可以按多种条件查询，删除、导出、打印等功能。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职工成本计算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eastAsia="zh-CN"/>
              </w:rPr>
              <w:t>职工直接成本按职工考勤天数进行分摊计算、汇总。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职工成本汇总表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eastAsia="zh-CN"/>
              </w:rPr>
              <w:t>支持月、季、年统计各科职工直接成本数据。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材料直接成本采集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科室材料成本采集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支持科室材料明细成本直接录入、EXCEL导入，以及从其他系统自动接口采集数据等多种方式，并可以按多种条件查询，删除、导出、打印等功能。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科室材料成本汇总计算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对</w:t>
            </w:r>
            <w:r>
              <w:rPr>
                <w:rFonts w:hint="eastAsia" w:ascii="微软雅黑" w:hAnsi="微软雅黑" w:eastAsia="微软雅黑" w:cs="微软雅黑"/>
                <w:sz w:val="24"/>
                <w:szCs w:val="24"/>
                <w:vertAlign w:val="baseline"/>
                <w:lang w:val="en-US" w:eastAsia="zh-CN"/>
              </w:rPr>
              <w:t>科室材料明细成本进行计算、汇总生成科室直接材料成本数据。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科室成本数据采集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支持科室成本数据直接录入、EXCEL导入，以及从其他系统自动接口采集数据等多种方式，并可以按多种条件查询，删除、导出、打印等功能。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全院归集费用采集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支持直接录入、EXCEL导入，以及从其他系统接口自动采集数据等多种方式，并可以按多种条件查询，删除、导出、打印等功能。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内部服务信息采集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支持内部服务信息数据直接录入、EXCEL导入，以及从其他系统接口自动采集数据等多种方式，并可以按多种条件查询，删除、导出、打印等功能。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科室成本分摊与计算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通过全费归集费用分摊方案、科室间接成本分摊方案，结合科室信息数据，进行原始成本、直接成本、间接成本进行归集汇总、计算与分摊，并形成计算步骤过程日志文件。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科室成本分摊数据检查</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对科室原始成本、直接成本、间接成本、全成本的计算过程数据查看校验。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数据采集与核算状态</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成本与信息数据采集与计算状态查看编辑。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b/>
                <w:bCs/>
                <w:color w:val="000000"/>
                <w:sz w:val="24"/>
                <w:szCs w:val="24"/>
                <w:vertAlign w:val="baseline"/>
                <w:lang w:val="en-US" w:eastAsia="zh-CN"/>
              </w:rPr>
              <w:t>院科效益核算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科室收入分成设置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设置开单与执行科室的收入项目分成比例。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科室成本转移设置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eastAsia="zh-CN"/>
              </w:rPr>
              <w:t>设置医技、药品执行科室成本转移比例。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收入明细数据采集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支持科室收入明细数据直接录入、EXCEL导入，以及从其他系统接口自动采集数据等多种方式，并可以按多种条件查询，删除、导出、打印等功能。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收入明细汇总计算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eastAsia="zh-CN"/>
              </w:rPr>
              <w:t>对科室</w:t>
            </w:r>
            <w:r>
              <w:rPr>
                <w:rFonts w:hint="eastAsia" w:ascii="微软雅黑" w:hAnsi="微软雅黑" w:eastAsia="微软雅黑" w:cs="微软雅黑"/>
                <w:sz w:val="24"/>
                <w:szCs w:val="24"/>
                <w:vertAlign w:val="baseline"/>
                <w:lang w:val="en-US" w:eastAsia="zh-CN"/>
              </w:rPr>
              <w:t>收入明细数据计算生成科室收入大类汇总数据。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科室收入数据采集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支持科室收入数据直接录入、EXCEL导入，以及从其他系统接口自动采集数据等多种方式，并可以按多种条件查询，删除、导出、打印等功能。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科室收入效益计算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对开单、执行科室收入以“收入配比成本”原则进行归集汇总、计算与分摊转移，并形成计算步骤过程日志文件。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成本与收入数据计算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通过全费归集费用分摊方案、科室间接成本分摊方案，结合科室信息数据，进行原始成本、直接成本、间接成本进行归集汇总、计算与分摊；对开单、执行科室收入以“收入配比成本”原则进行归集汇总、计算与分摊转移，并形成计算步骤过程日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成本与收入数据检查</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eastAsia="zh-CN"/>
              </w:rPr>
              <w:t>对科室原始成本、直接成本、间接成本、移转成本、全成本的计算过程数据查看校验；对开单、执行科室全收全支、比例分配的收入数据查看校验。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科室收入汇总表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科室收入汇总数据按月、季、年期间进行统计，支持导出、打印、图表等功能。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科室效益汇总数据按月、季、年期间进行统计，支持导出、打印、图表等功能。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科室效益明细数据按月、季、年期间进行统计，支持导出、打印、图表等功能。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数据采集与核算状态</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成本、收入及信息数据采集与计算状态查看编辑。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科室数据上报平台</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eastAsia="zh-CN"/>
              </w:rPr>
              <w:t>通过科室管理平台系统进行科室数据上报。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b/>
                <w:bCs/>
                <w:color w:val="000000"/>
                <w:sz w:val="24"/>
                <w:szCs w:val="24"/>
                <w:vertAlign w:val="baseline"/>
                <w:lang w:val="en-US" w:eastAsia="zh-CN"/>
              </w:rPr>
              <w:t>通用接口管理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接口代码转换设置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科室体系、成本项目、收入项目、信息项目进行一对一或一对多进行接口转换对照。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财务系统数据接口</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财务系统数据接口采集方案配置及采集任务定义。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总务材料数据接口</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总务材料数据接口采集方案配置及采集任务定义。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设备折旧数据接口</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设备折旧数据接口采集方案配置及采集任务定义。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其他系统数据接口</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其他系统数据接口采集方案配置及采集任务定义。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门诊收入数据接口</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HIS门诊收入数据接口采集方案配置及采集任务定义。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住院收入数据接口</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HIS住院收入数据接口采集方案配置及采集任务定义。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HIS系统数据接口</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HIS系统数据接口采集方案配置及采集任务定义。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通用数据采集工具</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通用数据自动采集工具遵循接口开放的原则,实现与第三方系统无需修改程序的情况下进行数据自定义采集，支持和HIS门诊收入、HIS住院收入、药库药品领用、财务账务凭证、物资管理、设备管理、供应室、病案室等医院信息系统和成本、绩效核算软件有效的无缝对接，实现医院信息系统数据互通互融、高度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EXCEL数据导入设置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EXCLE数据导入参数属性进行设置。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EXCEL数据导入工具</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院科成本、收入、信息等通用EXCLE数据导入工具。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财务凭证数据采集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通过专用财务凭证接口采集原始凭证数据。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b/>
                <w:bCs/>
                <w:color w:val="000000"/>
                <w:sz w:val="24"/>
                <w:szCs w:val="24"/>
                <w:vertAlign w:val="baseline"/>
                <w:lang w:val="en-US" w:eastAsia="zh-CN"/>
              </w:rPr>
              <w:t>成本报表管理中心</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医院各科信息数据一览表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医院各科信息数据按月、季、年期间进行统计分析，支持报表导出、打印、图表等功能。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医院各科内部服务汇总表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医院各科内部服务汇总数据按月、季、年期间进行统计分析，支持报表导出、打印、图表等功能。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ightChars="0" w:firstLine="240" w:firstLineChars="100"/>
              <w:rPr>
                <w:rFonts w:hint="eastAsia" w:ascii="微软雅黑" w:hAnsi="微软雅黑" w:eastAsia="微软雅黑" w:cs="微软雅黑"/>
                <w:color w:val="000000"/>
                <w:kern w:val="2"/>
                <w:sz w:val="24"/>
                <w:szCs w:val="24"/>
                <w:vertAlign w:val="baseline"/>
                <w:lang w:val="en-US" w:eastAsia="zh-CN" w:bidi="ar-SA"/>
              </w:rPr>
            </w:pPr>
            <w:r>
              <w:rPr>
                <w:rFonts w:hint="eastAsia" w:ascii="微软雅黑" w:hAnsi="微软雅黑" w:eastAsia="微软雅黑" w:cs="微软雅黑"/>
                <w:color w:val="000000"/>
                <w:sz w:val="24"/>
                <w:szCs w:val="24"/>
                <w:vertAlign w:val="baseline"/>
                <w:lang w:val="en-US" w:eastAsia="zh-CN"/>
              </w:rPr>
              <w:t>全院费用分摊基准数据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ightChars="0"/>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全院费用分摊基准、分摊对象及分摊数据浏览。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ightChars="0" w:firstLine="240" w:firstLineChars="100"/>
              <w:rPr>
                <w:rFonts w:hint="eastAsia" w:ascii="微软雅黑" w:hAnsi="微软雅黑" w:eastAsia="微软雅黑" w:cs="微软雅黑"/>
                <w:color w:val="000000"/>
                <w:kern w:val="2"/>
                <w:sz w:val="24"/>
                <w:szCs w:val="24"/>
                <w:vertAlign w:val="baseline"/>
                <w:lang w:val="en-US" w:eastAsia="zh-CN" w:bidi="ar-SA"/>
              </w:rPr>
            </w:pPr>
            <w:r>
              <w:rPr>
                <w:rFonts w:hint="eastAsia" w:ascii="微软雅黑" w:hAnsi="微软雅黑" w:eastAsia="微软雅黑" w:cs="微软雅黑"/>
                <w:color w:val="000000"/>
                <w:sz w:val="24"/>
                <w:szCs w:val="24"/>
                <w:vertAlign w:val="baseline"/>
                <w:lang w:val="en-US" w:eastAsia="zh-CN"/>
              </w:rPr>
              <w:t>科室成本分摊基准数据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ightChars="0"/>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科室成本分摊基准、分摊对象及分摊数据浏览。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医院各科直接成本汇总表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医院各科直接成本汇总数据按月、季、年期间进行统计分析，支持报表导出、打印、图表等功能。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医院各科直接成本明细表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医院各科直接成本明细数据按月、季、年期间进行统计分析，支持报表导出、打印、图表等功能。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科室直接成本组成汇总表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科室直接成本组成汇总数据按月、季、年期间进行统计分析，支持报表导出、打印、图表等功能。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科室直接成本组成明细表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科室直接成本组成明细数据按月、季、年期间进行统计分析，支持报表导出、打印、图表等功能。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医院业务科室全成本汇总表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医院业务科室全成本汇总数据按月、季、年期间进行统计分析，支持报表导出、打印、图表等功能。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医院业务科室全成本明细表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医院业务科室全成本明细数据按月、季、年期间进行统计分析，支持报表导出、打印、图表等功能。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科室全成本组成汇总表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科室全成本组成汇总数据按月、季、年期间进行统计分析，支持报表导出、打印、图表等功能。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科室全成本组成明细表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科室全成本组成明细数据按月、季、年期间进行统计分析，支持报表导出、打印、图表等功能。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医院业务科室成本分类汇总表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医院业务科室成本分类汇总数据按月、季、年期间进行统计分析，支持报表导出、打印、图表等功能。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ightChars="0" w:firstLine="240" w:firstLineChars="100"/>
              <w:rPr>
                <w:rFonts w:hint="eastAsia" w:ascii="微软雅黑" w:hAnsi="微软雅黑" w:eastAsia="微软雅黑" w:cs="微软雅黑"/>
                <w:color w:val="000000"/>
                <w:kern w:val="2"/>
                <w:sz w:val="24"/>
                <w:szCs w:val="24"/>
                <w:vertAlign w:val="baseline"/>
                <w:lang w:val="en-US" w:eastAsia="zh-CN" w:bidi="ar-SA"/>
              </w:rPr>
            </w:pPr>
            <w:r>
              <w:rPr>
                <w:rFonts w:hint="eastAsia" w:ascii="微软雅黑" w:hAnsi="微软雅黑" w:eastAsia="微软雅黑" w:cs="微软雅黑"/>
                <w:color w:val="000000"/>
                <w:sz w:val="24"/>
                <w:szCs w:val="24"/>
                <w:vertAlign w:val="baseline"/>
                <w:lang w:val="en-US" w:eastAsia="zh-CN"/>
              </w:rPr>
              <w:t>科室成本摊入明细表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0000"/>
                <w:kern w:val="2"/>
                <w:sz w:val="24"/>
                <w:szCs w:val="24"/>
                <w:vertAlign w:val="baseline"/>
                <w:lang w:val="en-US" w:eastAsia="zh-CN" w:bidi="ar-SA"/>
              </w:rPr>
            </w:pPr>
            <w:r>
              <w:rPr>
                <w:rFonts w:hint="eastAsia" w:ascii="微软雅黑" w:hAnsi="微软雅黑" w:eastAsia="微软雅黑" w:cs="微软雅黑"/>
                <w:color w:val="000000"/>
                <w:sz w:val="24"/>
                <w:szCs w:val="24"/>
                <w:vertAlign w:val="baseline"/>
                <w:lang w:val="en-US" w:eastAsia="zh-CN"/>
              </w:rPr>
              <w:t>科室成本摊入明细数据按月、季、年期间进行统计，支持导出、打印、图表等功能。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ightChars="0" w:firstLine="240" w:firstLineChars="100"/>
              <w:rPr>
                <w:rFonts w:hint="eastAsia" w:ascii="微软雅黑" w:hAnsi="微软雅黑" w:eastAsia="微软雅黑" w:cs="微软雅黑"/>
                <w:color w:val="000000"/>
                <w:kern w:val="2"/>
                <w:sz w:val="24"/>
                <w:szCs w:val="24"/>
                <w:vertAlign w:val="baseline"/>
                <w:lang w:val="en-US" w:eastAsia="zh-CN" w:bidi="ar-SA"/>
              </w:rPr>
            </w:pPr>
            <w:r>
              <w:rPr>
                <w:rFonts w:hint="eastAsia" w:ascii="微软雅黑" w:hAnsi="微软雅黑" w:eastAsia="微软雅黑" w:cs="微软雅黑"/>
                <w:color w:val="000000"/>
                <w:sz w:val="24"/>
                <w:szCs w:val="24"/>
                <w:vertAlign w:val="baseline"/>
                <w:lang w:val="en-US" w:eastAsia="zh-CN"/>
              </w:rPr>
              <w:t>科室成本摊出明细表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0000"/>
                <w:kern w:val="2"/>
                <w:sz w:val="24"/>
                <w:szCs w:val="24"/>
                <w:vertAlign w:val="baseline"/>
                <w:lang w:val="en-US" w:eastAsia="zh-CN" w:bidi="ar-SA"/>
              </w:rPr>
            </w:pPr>
            <w:r>
              <w:rPr>
                <w:rFonts w:hint="eastAsia" w:ascii="微软雅黑" w:hAnsi="微软雅黑" w:eastAsia="微软雅黑" w:cs="微软雅黑"/>
                <w:color w:val="000000"/>
                <w:sz w:val="24"/>
                <w:szCs w:val="24"/>
                <w:vertAlign w:val="baseline"/>
                <w:lang w:val="en-US" w:eastAsia="zh-CN"/>
              </w:rPr>
              <w:t>科室成本摊出明细数据按月、季、年期间进行统计，支持导出、打印、图表等功能。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自定义报表设置F5</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强大的数据报表管理中心，用户可以随时按需自定义统计分析报表，使数据发挥其最大价值与作用。系统自带十几大主题近百张数据分析报表，支持按月、季、年度进行科室信息、成本、收入、结余、以及人均、诊次、床日等专项指标的基本数据统计报表分析，还可以自定义结构、排名、趋势、对比、同比、累计等多种类型分析报表，并支持图表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自定义报表统计</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支持所有自定义报表快速统计。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报表打印中心F6</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支持所有自定义报表集中打印。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b/>
                <w:bCs/>
                <w:color w:val="000000"/>
                <w:sz w:val="24"/>
                <w:szCs w:val="24"/>
                <w:vertAlign w:val="baseline"/>
                <w:lang w:val="en-US" w:eastAsia="zh-CN"/>
              </w:rPr>
              <w:t>效益报表管理中心</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医院开单科室收入统计表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医院开单科室收入数据按月、季、年期间进行统计分析，支持报表导出、打印、图表等功能。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医院执行科室收入统计表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医院执行科室收入数据按月、季、年期间进行统计分析，支持报表导出、打印、图表等功能。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b/>
                <w:bCs/>
                <w:color w:val="C00000"/>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医院开单执行收入统计表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医院开单执行收入数据按月、季、年期间进行统计分析，支持报表导出、打印、图表等功能。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right="0" w:rightChars="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b/>
                <w:kern w:val="0"/>
                <w:sz w:val="24"/>
                <w:szCs w:val="24"/>
                <w:lang w:eastAsia="zh-CN"/>
              </w:rPr>
              <w:t>现行</w:t>
            </w:r>
            <w:r>
              <w:rPr>
                <w:rFonts w:hint="eastAsia" w:ascii="微软雅黑" w:hAnsi="微软雅黑" w:eastAsia="微软雅黑" w:cs="微软雅黑"/>
                <w:b/>
                <w:kern w:val="0"/>
                <w:sz w:val="24"/>
                <w:szCs w:val="24"/>
              </w:rPr>
              <w:t>新财务制度成本报表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医院各科室直接成本表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医院各科室直接成本数据（人员经费、卫生材料费、药品费、固定资产折旧费、无形资产折旧费、提取医疗风险基金、其他费用）按月、季、年期间进行统计分析，支持报表导出、打印、图表等功能。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医院临床服务类科室全成本表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临床服务类科室全成本数据（直接+间接：人员经费、卫生材料费、药品费、固定资产折旧费、无形资产折旧费、提取医疗风险基金、其他费用）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医院临床服务类科室全成本构成分析表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临床服务类科室全成本构成数据（全成本及占比：人员经费、卫生材料费、药品费、固定资产折旧费、无形资产折旧费、提取医疗风险基金、其他费用；科室成本合计、科室收入合计、科室结余、诊次成本、床日成本）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医院各科效益收入汇总表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医院各科效益收入汇总数据按月、季、年期间进行统计分析，支持报表导出、打印、图表等功能。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临床科室效益收入汇总表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临床科室效益收入汇总数据按月、季、年期间进行统计分析，支持报表导出、打印、图表等功能。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医技药品科室效益收入汇总表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医技药品科室效益收入汇总数据按月、季、年期间进行统计分析，支持报表导出、打印、图表等功能。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科室效益收入组成明细表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科室效益收入组成明细数据按月、季、年期间进行统计分析，支持报表导出、打印、图表等功能。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医院各科效益成本汇总表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医院各科效益成本汇总数据按月、季、年期间进行统计分析，支持报表导出、打印、图表等功能。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临床科室效益成本汇总表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临床科室效益成本汇总数据按月、季、年期间进行统计分析，支持报表导出、打印、图表等功能。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医技药品科室效益成本汇总表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医技药品科室效益成本汇总数据按月、季、年期间进行统计分析，支持报表导出、打印、图表等功能。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科室效益成本组成明细表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科室效益成本组成明细数据按月、季、年期间进行统计分析，支持报表导出、打印、图表等功能。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科室转移成本摊入明细表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科室转移成本摊入明细数据按月、季、年期间进行统计，支持导出、打印、图表等功能。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科室转移成本分摊明细表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科室转移成本分摊明细数据按月、季、年期间进行统计，支持导出、打印、图表等功能。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科室效益收入提取明细表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科室效益收入提取明细数据按月、季、年期间进行统计，支持导出、打印、图表等功能。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医技科室成本未转移表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医技科室成本未转移数据按月、季、年期间进行统计，支持导出、打印、图表等功能。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医院各科效益汇总表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医院各科效益汇总数据按月、季、年期间进行统计分析，支持报表导出、打印、图表等功能。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临床科室效益汇总表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临床科室效益汇总数据按月、季、年期间进行统计分析，支持报表导出、打印、图表等功能。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医技药品科室效益汇总表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医技药品科室效益汇总数据按月、季、年期间进行统计分析，支持报表导出、打印、图表等功能。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科室效益组成明细表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科室效益组成明细数据按月、季、年期间进行统计分析，支持报表导出、打印、图表等功能。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临床科室效益趋势分析表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临床科室效益趋势分析数据按月、季、年期间进行统计分析，支持报表导出、打印、图表等功能。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临床科室人员盈利能力分析表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临床科室人员盈利能力分析数据按月、季、年期间进行统计分析，支持报表导出、打印、图表等功能。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门诊科室诊次成本、收入、结余分析表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门诊科室诊次成本、收入、结余分析数据按月、季、年期间进行统计分析，支持报表导出、打印、图表等功能。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240" w:firstLineChars="10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住院科室诊次成本、收入、结余分析表</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sz w:val="24"/>
                <w:szCs w:val="24"/>
                <w:vertAlign w:val="baseline"/>
                <w:lang w:val="en-US" w:eastAsia="zh-CN"/>
              </w:rPr>
              <w:t>住院科室诊次成本、收入、结余分析数据按月、季、年期间进行统计分析，支持报表导出、打印、图表等功能。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b/>
                <w:bCs/>
                <w:color w:val="000000"/>
                <w:sz w:val="24"/>
                <w:szCs w:val="24"/>
                <w:vertAlign w:val="baseline"/>
                <w:lang w:val="en-US" w:eastAsia="zh-CN"/>
              </w:rPr>
              <w:t>系统信息维护</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期末结账处理</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期末结账</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完成本期成本与效益核算期末结账，对本期数据进行封存，将信息项目数据、成本分摊方案、效益核算方案数据自动转移到下期，并切换到下一会计期间。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取消结账</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对已结账的会计期间进行取消结账处理，回到最近结账会计期间，重新数据处理。支持多次结账与反结账。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系统参数设置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系统基本信息、公用系统参数、编码规则、会计期间、以及成本核算、效益核算参数等选项设置。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数据库连接配置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支持Oracle、Sql Server数据库连接配置。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用户权限设置</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对系统管理员、操作核算员用户进行权限设置。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用户密码修改</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对用户密码进行修改。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操作用户切换</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操作用户进行切换登入。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操作日志浏览</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系统具体操作日志查看。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系统锁定</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系统锁定，只有输入相应的密码才能解锁。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240" w:firstLineChars="100"/>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退出系统</w:t>
            </w:r>
          </w:p>
        </w:tc>
        <w:tc>
          <w:tcPr>
            <w:tcW w:w="54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关闭退出系统。</w:t>
            </w:r>
          </w:p>
        </w:tc>
      </w:tr>
    </w:tbl>
    <w:p>
      <w:pPr>
        <w:pStyle w:val="34"/>
        <w:keepNext w:val="0"/>
        <w:keepLines w:val="0"/>
        <w:pageBreakBefore/>
        <w:widowControl/>
        <w:numPr>
          <w:ilvl w:val="0"/>
          <w:numId w:val="0"/>
        </w:numPr>
        <w:kinsoku/>
        <w:wordWrap/>
        <w:overflowPunct/>
        <w:topLinePunct w:val="0"/>
        <w:autoSpaceDE/>
        <w:autoSpaceDN/>
        <w:bidi w:val="0"/>
        <w:adjustRightInd/>
        <w:snapToGrid/>
        <w:spacing w:line="360" w:lineRule="auto"/>
        <w:ind w:leftChars="0"/>
        <w:jc w:val="left"/>
        <w:textAlignment w:val="baseline"/>
        <w:outlineLvl w:val="1"/>
        <w:rPr>
          <w:rStyle w:val="33"/>
          <w:rFonts w:hint="eastAsia" w:ascii="微软雅黑" w:hAnsi="微软雅黑" w:eastAsia="微软雅黑" w:cs="微软雅黑"/>
          <w:b/>
          <w:bCs/>
          <w:sz w:val="24"/>
          <w:szCs w:val="24"/>
          <w:lang w:val="en-US" w:eastAsia="zh-CN"/>
        </w:rPr>
      </w:pPr>
      <w:bookmarkStart w:id="2" w:name="_Toc23551"/>
      <w:r>
        <w:rPr>
          <w:rStyle w:val="33"/>
          <w:rFonts w:hint="eastAsia" w:ascii="微软雅黑" w:hAnsi="微软雅黑" w:eastAsia="微软雅黑" w:cs="微软雅黑"/>
          <w:b/>
          <w:bCs/>
          <w:sz w:val="24"/>
          <w:szCs w:val="24"/>
          <w:lang w:val="en-US" w:eastAsia="zh-CN"/>
        </w:rPr>
        <w:t>2、通用数据接口管理工具：</w:t>
      </w:r>
      <w:bookmarkEnd w:id="2"/>
    </w:p>
    <w:p>
      <w:pPr>
        <w:pStyle w:val="14"/>
        <w:spacing w:after="100" w:afterAutospacing="1"/>
        <w:ind w:left="0" w:leftChars="0" w:firstLine="480" w:firstLineChars="200"/>
        <w:jc w:val="left"/>
        <w:rPr>
          <w:rFonts w:hint="eastAsia" w:ascii="微软雅黑" w:hAnsi="微软雅黑" w:eastAsia="微软雅黑" w:cs="微软雅黑"/>
          <w:kern w:val="2"/>
          <w:sz w:val="24"/>
          <w:szCs w:val="24"/>
          <w:vertAlign w:val="baseline"/>
          <w:lang w:val="en-US" w:eastAsia="zh-CN" w:bidi="ar-SA"/>
        </w:rPr>
      </w:pPr>
      <w:r>
        <w:rPr>
          <w:rFonts w:hint="eastAsia" w:ascii="微软雅黑" w:hAnsi="微软雅黑" w:eastAsia="微软雅黑" w:cs="微软雅黑"/>
          <w:kern w:val="2"/>
          <w:sz w:val="24"/>
          <w:szCs w:val="24"/>
          <w:vertAlign w:val="baseline"/>
          <w:lang w:val="en-US" w:eastAsia="zh-CN" w:bidi="ar-SA"/>
        </w:rPr>
        <w:t>通用数据自动采集工具遵循接口开放的原则，实现与第三方系统无需修改程序的情况下进行数据自定义采集，支持和HIS门诊收入、HIS住院收入、财务账务凭证、总务物资领用、设备物资领用、固定资产折旧等数据接口，现实医院信息管理系统和院科全成本与效益核算管理系统有效的无缝对接，实现医院信息系统数据互通互融、快速、高度集成。</w:t>
      </w:r>
      <w:bookmarkStart w:id="3" w:name="_Toc20938"/>
      <w:bookmarkStart w:id="4" w:name="_Toc17869"/>
      <w:bookmarkStart w:id="5" w:name="_Toc14872"/>
    </w:p>
    <w:p>
      <w:pPr>
        <w:pStyle w:val="14"/>
        <w:spacing w:after="100" w:afterAutospacing="1"/>
        <w:ind w:left="0" w:leftChars="0" w:firstLine="480" w:firstLineChars="200"/>
        <w:jc w:val="left"/>
        <w:rPr>
          <w:rStyle w:val="33"/>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kern w:val="2"/>
          <w:sz w:val="24"/>
          <w:szCs w:val="24"/>
          <w:vertAlign w:val="baseline"/>
          <w:lang w:val="en-US" w:eastAsia="zh-CN" w:bidi="ar-SA"/>
        </w:rPr>
        <w:t>二、</w:t>
      </w:r>
      <w:r>
        <w:rPr>
          <w:rStyle w:val="33"/>
          <w:rFonts w:hint="eastAsia" w:ascii="微软雅黑" w:hAnsi="微软雅黑" w:eastAsia="微软雅黑" w:cs="微软雅黑"/>
          <w:b/>
          <w:bCs/>
          <w:sz w:val="28"/>
          <w:szCs w:val="28"/>
          <w:lang w:val="en-US" w:eastAsia="zh-CN"/>
        </w:rPr>
        <w:t>软件、硬件、网络环境技术：</w:t>
      </w:r>
      <w:bookmarkEnd w:id="3"/>
      <w:bookmarkEnd w:id="4"/>
      <w:bookmarkEnd w:id="5"/>
    </w:p>
    <w:p>
      <w:pPr>
        <w:keepNext w:val="0"/>
        <w:keepLines w:val="0"/>
        <w:pageBreakBefore w:val="0"/>
        <w:widowControl/>
        <w:numPr>
          <w:ilvl w:val="0"/>
          <w:numId w:val="2"/>
        </w:numPr>
        <w:shd w:val="clear" w:color="auto" w:fill="FFFFFF"/>
        <w:kinsoku/>
        <w:wordWrap/>
        <w:overflowPunct/>
        <w:topLinePunct w:val="0"/>
        <w:autoSpaceDE/>
        <w:autoSpaceDN/>
        <w:bidi w:val="0"/>
        <w:adjustRightInd/>
        <w:spacing w:before="240" w:after="240" w:line="360" w:lineRule="auto"/>
        <w:ind w:left="425" w:leftChars="0" w:hanging="425" w:firstLineChars="0"/>
        <w:jc w:val="left"/>
        <w:outlineLvl w:val="9"/>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eastAsia="zh-CN"/>
        </w:rPr>
        <w:t>软件环境</w:t>
      </w:r>
      <w:r>
        <w:rPr>
          <w:rFonts w:hint="eastAsia" w:ascii="微软雅黑" w:hAnsi="微软雅黑" w:eastAsia="微软雅黑" w:cs="微软雅黑"/>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pacing w:before="240" w:after="240" w:line="360" w:lineRule="auto"/>
        <w:ind w:firstLine="420"/>
        <w:jc w:val="left"/>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lang w:eastAsia="zh-CN"/>
        </w:rPr>
        <w:t>操作系统：</w:t>
      </w:r>
      <w:r>
        <w:rPr>
          <w:rFonts w:hint="eastAsia" w:ascii="微软雅黑" w:hAnsi="微软雅黑" w:eastAsia="微软雅黑" w:cs="微软雅黑"/>
          <w:color w:val="000000"/>
          <w:kern w:val="0"/>
          <w:sz w:val="24"/>
          <w:szCs w:val="24"/>
        </w:rPr>
        <w:t>Win server 201</w:t>
      </w:r>
      <w:r>
        <w:rPr>
          <w:rFonts w:hint="eastAsia" w:ascii="微软雅黑" w:hAnsi="微软雅黑" w:eastAsia="微软雅黑" w:cs="微软雅黑"/>
          <w:color w:val="000000"/>
          <w:kern w:val="0"/>
          <w:sz w:val="24"/>
          <w:szCs w:val="24"/>
          <w:lang w:val="en-US" w:eastAsia="zh-CN"/>
        </w:rPr>
        <w:t>8 64位、</w:t>
      </w:r>
      <w:r>
        <w:rPr>
          <w:rFonts w:hint="eastAsia" w:ascii="微软雅黑" w:hAnsi="微软雅黑" w:eastAsia="微软雅黑" w:cs="微软雅黑"/>
          <w:color w:val="000000"/>
          <w:kern w:val="0"/>
          <w:sz w:val="24"/>
          <w:szCs w:val="24"/>
        </w:rPr>
        <w:t>UNIX</w:t>
      </w:r>
      <w:r>
        <w:rPr>
          <w:rFonts w:hint="eastAsia" w:ascii="微软雅黑" w:hAnsi="微软雅黑" w:eastAsia="微软雅黑" w:cs="微软雅黑"/>
          <w:color w:val="000000"/>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pacing w:before="240" w:after="240" w:line="360" w:lineRule="auto"/>
        <w:ind w:firstLine="420"/>
        <w:jc w:val="left"/>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rPr>
        <w:t>数据库</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rPr>
        <w:t>oracle11</w:t>
      </w:r>
      <w:r>
        <w:rPr>
          <w:rFonts w:hint="eastAsia" w:ascii="微软雅黑" w:hAnsi="微软雅黑" w:eastAsia="微软雅黑" w:cs="微软雅黑"/>
          <w:color w:val="000000"/>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pacing w:before="240" w:after="240" w:line="360" w:lineRule="auto"/>
        <w:ind w:firstLine="420"/>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浏览器：IE9、IE10,FireFox、360</w:t>
      </w:r>
      <w:r>
        <w:rPr>
          <w:rFonts w:hint="eastAsia" w:ascii="微软雅黑" w:hAnsi="微软雅黑" w:eastAsia="微软雅黑" w:cs="微软雅黑"/>
          <w:color w:val="000000"/>
          <w:kern w:val="0"/>
          <w:sz w:val="24"/>
          <w:szCs w:val="24"/>
          <w:lang w:eastAsia="zh-CN"/>
        </w:rPr>
        <w:t>、Google</w:t>
      </w:r>
      <w:r>
        <w:rPr>
          <w:rFonts w:hint="eastAsia" w:ascii="微软雅黑" w:hAnsi="微软雅黑" w:eastAsia="微软雅黑" w:cs="微软雅黑"/>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pacing w:before="240" w:after="240" w:line="360" w:lineRule="auto"/>
        <w:ind w:firstLine="420"/>
        <w:jc w:val="left"/>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eastAsia="zh-CN"/>
        </w:rPr>
        <w:t>开发工具：Visual Studio .NET 2013、</w:t>
      </w:r>
      <w:r>
        <w:rPr>
          <w:rFonts w:hint="eastAsia" w:ascii="微软雅黑" w:hAnsi="微软雅黑" w:eastAsia="微软雅黑" w:cs="微软雅黑"/>
          <w:color w:val="000000"/>
          <w:kern w:val="0"/>
          <w:sz w:val="24"/>
          <w:szCs w:val="24"/>
          <w:lang w:val="en-US" w:eastAsia="zh-CN"/>
        </w:rPr>
        <w:t>PL SQL</w:t>
      </w:r>
    </w:p>
    <w:p>
      <w:pPr>
        <w:keepNext w:val="0"/>
        <w:keepLines w:val="0"/>
        <w:pageBreakBefore w:val="0"/>
        <w:widowControl/>
        <w:numPr>
          <w:ilvl w:val="0"/>
          <w:numId w:val="2"/>
        </w:numPr>
        <w:shd w:val="clear" w:color="auto" w:fill="FFFFFF"/>
        <w:kinsoku/>
        <w:wordWrap/>
        <w:overflowPunct/>
        <w:topLinePunct w:val="0"/>
        <w:autoSpaceDE/>
        <w:autoSpaceDN/>
        <w:bidi w:val="0"/>
        <w:adjustRightInd/>
        <w:spacing w:before="240" w:after="240" w:line="360" w:lineRule="auto"/>
        <w:ind w:left="425" w:leftChars="0" w:hanging="425" w:firstLineChars="0"/>
        <w:jc w:val="left"/>
        <w:outlineLvl w:val="9"/>
        <w:rPr>
          <w:rFonts w:hint="eastAsia" w:ascii="微软雅黑" w:hAnsi="微软雅黑" w:eastAsia="微软雅黑" w:cs="微软雅黑"/>
          <w:color w:val="000000"/>
          <w:kern w:val="0"/>
          <w:sz w:val="24"/>
          <w:szCs w:val="24"/>
        </w:rPr>
      </w:pPr>
      <w:bookmarkStart w:id="6" w:name="_Toc8510"/>
      <w:bookmarkStart w:id="7" w:name="_Toc27741"/>
      <w:bookmarkStart w:id="8" w:name="_Hlk38228998"/>
      <w:r>
        <w:rPr>
          <w:rFonts w:hint="eastAsia" w:ascii="微软雅黑" w:hAnsi="微软雅黑" w:eastAsia="微软雅黑" w:cs="微软雅黑"/>
          <w:color w:val="000000"/>
          <w:kern w:val="0"/>
          <w:sz w:val="24"/>
          <w:szCs w:val="24"/>
        </w:rPr>
        <w:t>硬件环境</w:t>
      </w:r>
      <w:bookmarkEnd w:id="6"/>
      <w:bookmarkEnd w:id="7"/>
      <w:r>
        <w:rPr>
          <w:rFonts w:hint="eastAsia" w:ascii="微软雅黑" w:hAnsi="微软雅黑" w:eastAsia="微软雅黑" w:cs="微软雅黑"/>
          <w:color w:val="000000"/>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pacing w:before="240" w:after="240" w:line="360" w:lineRule="auto"/>
        <w:ind w:firstLine="420"/>
        <w:jc w:val="left"/>
        <w:rPr>
          <w:rFonts w:hint="default"/>
          <w:lang w:val="en-US"/>
        </w:rPr>
      </w:pPr>
      <w:r>
        <w:rPr>
          <w:rFonts w:hint="eastAsia" w:ascii="微软雅黑" w:hAnsi="微软雅黑" w:eastAsia="微软雅黑" w:cs="微软雅黑"/>
          <w:color w:val="000000"/>
          <w:kern w:val="0"/>
          <w:sz w:val="24"/>
          <w:szCs w:val="24"/>
        </w:rPr>
        <w:t>服务器：CPU 四核2.4G以上，内存</w:t>
      </w:r>
      <w:r>
        <w:rPr>
          <w:rFonts w:hint="eastAsia" w:ascii="微软雅黑" w:hAnsi="微软雅黑" w:eastAsia="微软雅黑" w:cs="微软雅黑"/>
          <w:color w:val="000000"/>
          <w:kern w:val="0"/>
          <w:sz w:val="24"/>
          <w:szCs w:val="24"/>
          <w:lang w:val="en-US" w:eastAsia="zh-CN"/>
        </w:rPr>
        <w:t>16</w:t>
      </w:r>
      <w:r>
        <w:rPr>
          <w:rFonts w:hint="eastAsia" w:ascii="微软雅黑" w:hAnsi="微软雅黑" w:eastAsia="微软雅黑" w:cs="微软雅黑"/>
          <w:color w:val="000000"/>
          <w:kern w:val="0"/>
          <w:sz w:val="24"/>
          <w:szCs w:val="24"/>
        </w:rPr>
        <w:t>G、硬盘</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00G以上。</w:t>
      </w:r>
      <w:bookmarkEnd w:id="8"/>
      <w:r>
        <w:rPr>
          <w:rFonts w:hint="eastAsia" w:ascii="微软雅黑" w:hAnsi="微软雅黑" w:eastAsia="微软雅黑" w:cs="微软雅黑"/>
          <w:b/>
          <w:bCs/>
          <w:color w:val="DC2523"/>
          <w:kern w:val="0"/>
          <w:sz w:val="24"/>
          <w:szCs w:val="24"/>
        </w:rPr>
        <w:t> </w:t>
      </w:r>
    </w:p>
    <w:p>
      <w:pPr>
        <w:keepNext w:val="0"/>
        <w:keepLines w:val="0"/>
        <w:pageBreakBefore w:val="0"/>
        <w:widowControl/>
        <w:numPr>
          <w:ilvl w:val="0"/>
          <w:numId w:val="2"/>
        </w:numPr>
        <w:shd w:val="clear" w:color="auto" w:fill="FFFFFF"/>
        <w:kinsoku/>
        <w:wordWrap/>
        <w:overflowPunct/>
        <w:topLinePunct w:val="0"/>
        <w:autoSpaceDE/>
        <w:autoSpaceDN/>
        <w:bidi w:val="0"/>
        <w:adjustRightInd/>
        <w:spacing w:before="240" w:after="240" w:line="360" w:lineRule="auto"/>
        <w:ind w:left="425" w:leftChars="0" w:hanging="425" w:firstLineChars="0"/>
        <w:jc w:val="left"/>
        <w:outlineLvl w:val="9"/>
        <w:rPr>
          <w:rFonts w:hint="eastAsia" w:ascii="微软雅黑" w:hAnsi="微软雅黑" w:eastAsia="微软雅黑" w:cs="微软雅黑"/>
          <w:color w:val="000000"/>
          <w:kern w:val="0"/>
          <w:sz w:val="24"/>
          <w:szCs w:val="24"/>
          <w:lang w:val="en-US" w:eastAsia="zh-CN"/>
        </w:rPr>
      </w:pPr>
      <w:bookmarkStart w:id="9" w:name="_Toc9589"/>
      <w:bookmarkStart w:id="10" w:name="_Toc6455"/>
      <w:r>
        <w:rPr>
          <w:rFonts w:hint="eastAsia" w:ascii="微软雅黑" w:hAnsi="微软雅黑" w:eastAsia="微软雅黑" w:cs="微软雅黑"/>
          <w:color w:val="000000"/>
          <w:kern w:val="0"/>
          <w:sz w:val="24"/>
          <w:szCs w:val="24"/>
        </w:rPr>
        <w:t>网络环境</w:t>
      </w:r>
      <w:bookmarkEnd w:id="9"/>
      <w:bookmarkEnd w:id="10"/>
      <w:r>
        <w:rPr>
          <w:rFonts w:hint="eastAsia" w:ascii="微软雅黑" w:hAnsi="微软雅黑" w:eastAsia="微软雅黑" w:cs="微软雅黑"/>
          <w:color w:val="000000"/>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pacing w:before="240" w:after="240" w:line="360" w:lineRule="auto"/>
        <w:ind w:firstLine="420"/>
        <w:jc w:val="left"/>
        <w:rPr>
          <w:rFonts w:hint="eastAsia" w:ascii="微软雅黑" w:hAnsi="微软雅黑" w:eastAsia="微软雅黑" w:cs="微软雅黑"/>
          <w:spacing w:val="-3"/>
          <w:sz w:val="22"/>
          <w:szCs w:val="22"/>
        </w:rPr>
      </w:pPr>
      <w:r>
        <w:rPr>
          <w:rFonts w:hint="eastAsia" w:ascii="微软雅黑" w:hAnsi="微软雅黑" w:eastAsia="微软雅黑" w:cs="微软雅黑"/>
          <w:color w:val="000000"/>
          <w:kern w:val="0"/>
          <w:sz w:val="24"/>
          <w:szCs w:val="24"/>
          <w:lang w:val="en-US" w:eastAsia="zh-CN"/>
        </w:rPr>
        <w:t>医院全成本与绩效核算管理系统与</w:t>
      </w:r>
      <w:r>
        <w:rPr>
          <w:rFonts w:hint="eastAsia" w:ascii="微软雅黑" w:hAnsi="微软雅黑" w:eastAsia="微软雅黑" w:cs="微软雅黑"/>
          <w:color w:val="000000"/>
          <w:kern w:val="0"/>
          <w:sz w:val="24"/>
          <w:szCs w:val="24"/>
        </w:rPr>
        <w:t>医院内部网络</w:t>
      </w:r>
      <w:r>
        <w:rPr>
          <w:rFonts w:hint="eastAsia" w:ascii="微软雅黑" w:hAnsi="微软雅黑" w:eastAsia="微软雅黑" w:cs="微软雅黑"/>
          <w:color w:val="000000"/>
          <w:kern w:val="0"/>
          <w:sz w:val="24"/>
          <w:szCs w:val="24"/>
          <w:lang w:val="en-US" w:eastAsia="zh-CN"/>
        </w:rPr>
        <w:t>医院业务管理系统、医院信息管理系统等支持互连互通；</w:t>
      </w:r>
      <w:r>
        <w:rPr>
          <w:rFonts w:hint="eastAsia" w:ascii="微软雅黑" w:hAnsi="微软雅黑" w:eastAsia="微软雅黑" w:cs="微软雅黑"/>
          <w:color w:val="000000"/>
          <w:kern w:val="0"/>
          <w:sz w:val="24"/>
          <w:szCs w:val="24"/>
          <w:lang w:eastAsia="zh-CN"/>
        </w:rPr>
        <w:t>并支持</w:t>
      </w:r>
      <w:r>
        <w:rPr>
          <w:rFonts w:hint="eastAsia" w:ascii="微软雅黑" w:hAnsi="微软雅黑" w:eastAsia="微软雅黑" w:cs="微软雅黑"/>
          <w:color w:val="000000"/>
          <w:kern w:val="0"/>
          <w:sz w:val="24"/>
          <w:szCs w:val="24"/>
          <w:lang w:val="en-US" w:eastAsia="zh-CN"/>
        </w:rPr>
        <w:t>Internet网络远程服务</w:t>
      </w:r>
      <w:r>
        <w:rPr>
          <w:rFonts w:hint="eastAsia" w:ascii="微软雅黑" w:hAnsi="微软雅黑" w:eastAsia="微软雅黑" w:cs="微软雅黑"/>
          <w:color w:val="000000"/>
          <w:kern w:val="0"/>
          <w:sz w:val="24"/>
          <w:szCs w:val="24"/>
        </w:rPr>
        <w:t>。</w:t>
      </w:r>
    </w:p>
    <w:p>
      <w:pPr>
        <w:pStyle w:val="14"/>
        <w:spacing w:after="100" w:afterAutospacing="1"/>
        <w:ind w:left="0" w:leftChars="0" w:firstLine="480" w:firstLineChars="200"/>
        <w:jc w:val="left"/>
        <w:rPr>
          <w:rFonts w:hint="eastAsia" w:ascii="微软雅黑" w:hAnsi="微软雅黑" w:eastAsia="微软雅黑" w:cs="微软雅黑"/>
          <w:kern w:val="2"/>
          <w:sz w:val="24"/>
          <w:szCs w:val="24"/>
          <w:vertAlign w:val="baseline"/>
          <w:lang w:val="en-US" w:eastAsia="zh-CN" w:bidi="ar-SA"/>
        </w:rPr>
      </w:pPr>
    </w:p>
    <w:p>
      <w:pPr>
        <w:pStyle w:val="34"/>
        <w:keepNext w:val="0"/>
        <w:keepLines w:val="0"/>
        <w:pageBreakBefore/>
        <w:widowControl/>
        <w:numPr>
          <w:ilvl w:val="0"/>
          <w:numId w:val="0"/>
        </w:numPr>
        <w:kinsoku/>
        <w:wordWrap/>
        <w:overflowPunct/>
        <w:topLinePunct w:val="0"/>
        <w:autoSpaceDE/>
        <w:autoSpaceDN/>
        <w:bidi w:val="0"/>
        <w:adjustRightInd/>
        <w:snapToGrid/>
        <w:spacing w:line="360" w:lineRule="auto"/>
        <w:ind w:leftChars="0"/>
        <w:textAlignment w:val="baseline"/>
        <w:outlineLvl w:val="0"/>
        <w:rPr>
          <w:rStyle w:val="33"/>
          <w:rFonts w:hint="eastAsia" w:ascii="微软雅黑" w:hAnsi="微软雅黑" w:eastAsia="微软雅黑" w:cs="微软雅黑"/>
          <w:b/>
          <w:bCs/>
          <w:sz w:val="28"/>
          <w:szCs w:val="28"/>
        </w:rPr>
      </w:pPr>
      <w:bookmarkStart w:id="11" w:name="_Toc24594"/>
      <w:r>
        <w:rPr>
          <w:rStyle w:val="33"/>
          <w:rFonts w:hint="eastAsia" w:ascii="微软雅黑" w:hAnsi="微软雅黑" w:eastAsia="微软雅黑" w:cs="微软雅黑"/>
          <w:b/>
          <w:bCs/>
          <w:sz w:val="28"/>
          <w:szCs w:val="28"/>
          <w:lang w:val="en-US" w:eastAsia="zh-CN"/>
        </w:rPr>
        <w:t>三、</w:t>
      </w:r>
      <w:r>
        <w:rPr>
          <w:rStyle w:val="33"/>
          <w:rFonts w:hint="eastAsia" w:ascii="微软雅黑" w:hAnsi="微软雅黑" w:eastAsia="微软雅黑" w:cs="微软雅黑"/>
          <w:b/>
          <w:bCs/>
          <w:sz w:val="28"/>
          <w:szCs w:val="28"/>
        </w:rPr>
        <w:t>项目实施要求</w:t>
      </w:r>
      <w:r>
        <w:rPr>
          <w:rStyle w:val="33"/>
          <w:rFonts w:hint="eastAsia" w:ascii="微软雅黑" w:hAnsi="微软雅黑" w:eastAsia="微软雅黑" w:cs="微软雅黑"/>
          <w:b/>
          <w:bCs/>
          <w:sz w:val="28"/>
          <w:szCs w:val="28"/>
          <w:lang w:eastAsia="zh-CN"/>
        </w:rPr>
        <w:t>：</w:t>
      </w:r>
      <w:bookmarkEnd w:id="11"/>
    </w:p>
    <w:p>
      <w:pPr>
        <w:pStyle w:val="14"/>
        <w:pageBreakBefore w:val="0"/>
        <w:widowControl w:val="0"/>
        <w:numPr>
          <w:ilvl w:val="0"/>
          <w:numId w:val="3"/>
        </w:numPr>
        <w:kinsoku/>
        <w:wordWrap/>
        <w:overflowPunct/>
        <w:topLinePunct w:val="0"/>
        <w:autoSpaceDE/>
        <w:autoSpaceDN/>
        <w:bidi w:val="0"/>
        <w:ind w:left="425" w:leftChars="0" w:hanging="425" w:firstLineChars="0"/>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sz w:val="24"/>
          <w:szCs w:val="24"/>
          <w:lang w:val="en-US" w:eastAsia="zh-CN"/>
        </w:rPr>
        <w:t>中标人应按招标相关要求签订合同，在接到招标方要求安装的通知后，1个月内完成系统安装、培训、初始化，2个月内系统启用，3个月内完成系统建设项目验收交付。</w:t>
      </w:r>
    </w:p>
    <w:p>
      <w:pPr>
        <w:pStyle w:val="14"/>
        <w:pageBreakBefore w:val="0"/>
        <w:widowControl w:val="0"/>
        <w:numPr>
          <w:ilvl w:val="0"/>
          <w:numId w:val="3"/>
        </w:numPr>
        <w:kinsoku/>
        <w:wordWrap/>
        <w:overflowPunct/>
        <w:topLinePunct w:val="0"/>
        <w:autoSpaceDE/>
        <w:autoSpaceDN/>
        <w:bidi w:val="0"/>
        <w:ind w:left="425" w:leftChars="0" w:hanging="425" w:firstLineChars="0"/>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Cs/>
          <w:color w:val="000000"/>
          <w:sz w:val="24"/>
          <w:szCs w:val="24"/>
          <w:lang w:val="en-US" w:eastAsia="zh-CN"/>
        </w:rPr>
        <w:t>技术服务响应：项目实施以及质保服务期间如出现故障，出现故障后1小时内服务响应、2小时内远程解决，远程解决不了的要求24 小时内现场服务，24 小时内解决问题。</w:t>
      </w:r>
    </w:p>
    <w:p>
      <w:pPr>
        <w:pStyle w:val="14"/>
        <w:pageBreakBefore w:val="0"/>
        <w:widowControl w:val="0"/>
        <w:numPr>
          <w:ilvl w:val="0"/>
          <w:numId w:val="3"/>
        </w:numPr>
        <w:kinsoku/>
        <w:wordWrap/>
        <w:overflowPunct/>
        <w:topLinePunct w:val="0"/>
        <w:autoSpaceDE/>
        <w:autoSpaceDN/>
        <w:bidi w:val="0"/>
        <w:ind w:left="425" w:leftChars="0" w:hanging="425" w:firstLineChars="0"/>
        <w:jc w:val="left"/>
        <w:textAlignment w:val="auto"/>
        <w:rPr>
          <w:rFonts w:hint="eastAsia" w:ascii="微软雅黑" w:hAnsi="微软雅黑" w:eastAsia="微软雅黑" w:cs="微软雅黑"/>
          <w:bCs/>
          <w:color w:val="000000"/>
          <w:sz w:val="24"/>
          <w:szCs w:val="24"/>
          <w:lang w:val="en-US" w:eastAsia="zh-CN"/>
        </w:rPr>
      </w:pPr>
      <w:r>
        <w:rPr>
          <w:rFonts w:hint="eastAsia" w:ascii="微软雅黑" w:hAnsi="微软雅黑" w:eastAsia="微软雅黑" w:cs="微软雅黑"/>
          <w:bCs/>
          <w:color w:val="000000"/>
          <w:sz w:val="24"/>
          <w:szCs w:val="24"/>
          <w:lang w:val="en-US" w:eastAsia="zh-CN"/>
        </w:rPr>
        <w:t>项目质保期：供应商应提供至少一年免费质保，在保修期内发生的软件运行中出现的故障由供应服务商提供免费服务解决。</w:t>
      </w:r>
    </w:p>
    <w:p>
      <w:pPr>
        <w:spacing w:before="120" w:beforeLines="50" w:after="120" w:afterLines="50" w:line="360" w:lineRule="auto"/>
        <w:ind w:firstLine="440" w:firstLineChars="200"/>
        <w:rPr>
          <w:rStyle w:val="33"/>
          <w:rFonts w:hint="eastAsia" w:ascii="微软雅黑" w:hAnsi="微软雅黑" w:eastAsia="微软雅黑" w:cs="微软雅黑"/>
          <w:b/>
          <w:bCs/>
          <w:sz w:val="22"/>
          <w:szCs w:val="22"/>
        </w:rPr>
      </w:pPr>
    </w:p>
    <w:sectPr>
      <w:headerReference r:id="rId5" w:type="first"/>
      <w:headerReference r:id="rId3" w:type="default"/>
      <w:footerReference r:id="rId6"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第 </w:t>
                          </w:r>
                          <w:r>
                            <w:rPr>
                              <w:rFonts w:hint="eastAsia" w:ascii="微软雅黑" w:hAnsi="微软雅黑" w:eastAsia="微软雅黑" w:cs="微软雅黑"/>
                              <w:sz w:val="21"/>
                              <w:szCs w:val="21"/>
                              <w:lang w:eastAsia="zh-CN"/>
                            </w:rPr>
                            <w:fldChar w:fldCharType="begin"/>
                          </w:r>
                          <w:r>
                            <w:rPr>
                              <w:rFonts w:hint="eastAsia" w:ascii="微软雅黑" w:hAnsi="微软雅黑" w:eastAsia="微软雅黑" w:cs="微软雅黑"/>
                              <w:sz w:val="21"/>
                              <w:szCs w:val="21"/>
                              <w:lang w:eastAsia="zh-CN"/>
                            </w:rPr>
                            <w:instrText xml:space="preserve"> PAGE  \* MERGEFORMAT </w:instrText>
                          </w:r>
                          <w:r>
                            <w:rPr>
                              <w:rFonts w:hint="eastAsia" w:ascii="微软雅黑" w:hAnsi="微软雅黑" w:eastAsia="微软雅黑" w:cs="微软雅黑"/>
                              <w:sz w:val="21"/>
                              <w:szCs w:val="21"/>
                              <w:lang w:eastAsia="zh-CN"/>
                            </w:rPr>
                            <w:fldChar w:fldCharType="separate"/>
                          </w:r>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eastAsia="zh-CN"/>
                            </w:rPr>
                            <w:fldChar w:fldCharType="end"/>
                          </w:r>
                          <w:r>
                            <w:rPr>
                              <w:rFonts w:hint="eastAsia" w:ascii="微软雅黑" w:hAnsi="微软雅黑" w:eastAsia="微软雅黑" w:cs="微软雅黑"/>
                              <w:sz w:val="21"/>
                              <w:szCs w:val="21"/>
                              <w:lang w:eastAsia="zh-CN"/>
                            </w:rPr>
                            <w:t xml:space="preserve"> 页 共 </w:t>
                          </w:r>
                          <w:r>
                            <w:rPr>
                              <w:rFonts w:hint="eastAsia" w:ascii="微软雅黑" w:hAnsi="微软雅黑" w:eastAsia="微软雅黑" w:cs="微软雅黑"/>
                              <w:sz w:val="21"/>
                              <w:szCs w:val="21"/>
                              <w:lang w:eastAsia="zh-CN"/>
                            </w:rPr>
                            <w:fldChar w:fldCharType="begin"/>
                          </w:r>
                          <w:r>
                            <w:rPr>
                              <w:rFonts w:hint="eastAsia" w:ascii="微软雅黑" w:hAnsi="微软雅黑" w:eastAsia="微软雅黑" w:cs="微软雅黑"/>
                              <w:sz w:val="21"/>
                              <w:szCs w:val="21"/>
                              <w:lang w:eastAsia="zh-CN"/>
                            </w:rPr>
                            <w:instrText xml:space="preserve"> NUMPAGES  \* MERGEFORMAT </w:instrText>
                          </w:r>
                          <w:r>
                            <w:rPr>
                              <w:rFonts w:hint="eastAsia" w:ascii="微软雅黑" w:hAnsi="微软雅黑" w:eastAsia="微软雅黑" w:cs="微软雅黑"/>
                              <w:sz w:val="21"/>
                              <w:szCs w:val="21"/>
                              <w:lang w:eastAsia="zh-CN"/>
                            </w:rPr>
                            <w:fldChar w:fldCharType="separate"/>
                          </w:r>
                          <w:r>
                            <w:rPr>
                              <w:rFonts w:hint="eastAsia" w:ascii="微软雅黑" w:hAnsi="微软雅黑" w:eastAsia="微软雅黑" w:cs="微软雅黑"/>
                              <w:sz w:val="21"/>
                              <w:szCs w:val="21"/>
                              <w:lang w:eastAsia="zh-CN"/>
                            </w:rPr>
                            <w:t>34</w:t>
                          </w:r>
                          <w:r>
                            <w:rPr>
                              <w:rFonts w:hint="eastAsia" w:ascii="微软雅黑" w:hAnsi="微软雅黑" w:eastAsia="微软雅黑" w:cs="微软雅黑"/>
                              <w:sz w:val="21"/>
                              <w:szCs w:val="21"/>
                              <w:lang w:eastAsia="zh-CN"/>
                            </w:rPr>
                            <w:fldChar w:fldCharType="end"/>
                          </w:r>
                          <w:r>
                            <w:rPr>
                              <w:rFonts w:hint="eastAsia" w:ascii="微软雅黑" w:hAnsi="微软雅黑" w:eastAsia="微软雅黑" w:cs="微软雅黑"/>
                              <w:sz w:val="21"/>
                              <w:szCs w:val="21"/>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第 </w:t>
                    </w:r>
                    <w:r>
                      <w:rPr>
                        <w:rFonts w:hint="eastAsia" w:ascii="微软雅黑" w:hAnsi="微软雅黑" w:eastAsia="微软雅黑" w:cs="微软雅黑"/>
                        <w:sz w:val="21"/>
                        <w:szCs w:val="21"/>
                        <w:lang w:eastAsia="zh-CN"/>
                      </w:rPr>
                      <w:fldChar w:fldCharType="begin"/>
                    </w:r>
                    <w:r>
                      <w:rPr>
                        <w:rFonts w:hint="eastAsia" w:ascii="微软雅黑" w:hAnsi="微软雅黑" w:eastAsia="微软雅黑" w:cs="微软雅黑"/>
                        <w:sz w:val="21"/>
                        <w:szCs w:val="21"/>
                        <w:lang w:eastAsia="zh-CN"/>
                      </w:rPr>
                      <w:instrText xml:space="preserve"> PAGE  \* MERGEFORMAT </w:instrText>
                    </w:r>
                    <w:r>
                      <w:rPr>
                        <w:rFonts w:hint="eastAsia" w:ascii="微软雅黑" w:hAnsi="微软雅黑" w:eastAsia="微软雅黑" w:cs="微软雅黑"/>
                        <w:sz w:val="21"/>
                        <w:szCs w:val="21"/>
                        <w:lang w:eastAsia="zh-CN"/>
                      </w:rPr>
                      <w:fldChar w:fldCharType="separate"/>
                    </w:r>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eastAsia="zh-CN"/>
                      </w:rPr>
                      <w:fldChar w:fldCharType="end"/>
                    </w:r>
                    <w:r>
                      <w:rPr>
                        <w:rFonts w:hint="eastAsia" w:ascii="微软雅黑" w:hAnsi="微软雅黑" w:eastAsia="微软雅黑" w:cs="微软雅黑"/>
                        <w:sz w:val="21"/>
                        <w:szCs w:val="21"/>
                        <w:lang w:eastAsia="zh-CN"/>
                      </w:rPr>
                      <w:t xml:space="preserve"> 页 共 </w:t>
                    </w:r>
                    <w:r>
                      <w:rPr>
                        <w:rFonts w:hint="eastAsia" w:ascii="微软雅黑" w:hAnsi="微软雅黑" w:eastAsia="微软雅黑" w:cs="微软雅黑"/>
                        <w:sz w:val="21"/>
                        <w:szCs w:val="21"/>
                        <w:lang w:eastAsia="zh-CN"/>
                      </w:rPr>
                      <w:fldChar w:fldCharType="begin"/>
                    </w:r>
                    <w:r>
                      <w:rPr>
                        <w:rFonts w:hint="eastAsia" w:ascii="微软雅黑" w:hAnsi="微软雅黑" w:eastAsia="微软雅黑" w:cs="微软雅黑"/>
                        <w:sz w:val="21"/>
                        <w:szCs w:val="21"/>
                        <w:lang w:eastAsia="zh-CN"/>
                      </w:rPr>
                      <w:instrText xml:space="preserve"> NUMPAGES  \* MERGEFORMAT </w:instrText>
                    </w:r>
                    <w:r>
                      <w:rPr>
                        <w:rFonts w:hint="eastAsia" w:ascii="微软雅黑" w:hAnsi="微软雅黑" w:eastAsia="微软雅黑" w:cs="微软雅黑"/>
                        <w:sz w:val="21"/>
                        <w:szCs w:val="21"/>
                        <w:lang w:eastAsia="zh-CN"/>
                      </w:rPr>
                      <w:fldChar w:fldCharType="separate"/>
                    </w:r>
                    <w:r>
                      <w:rPr>
                        <w:rFonts w:hint="eastAsia" w:ascii="微软雅黑" w:hAnsi="微软雅黑" w:eastAsia="微软雅黑" w:cs="微软雅黑"/>
                        <w:sz w:val="21"/>
                        <w:szCs w:val="21"/>
                        <w:lang w:eastAsia="zh-CN"/>
                      </w:rPr>
                      <w:t>34</w:t>
                    </w:r>
                    <w:r>
                      <w:rPr>
                        <w:rFonts w:hint="eastAsia" w:ascii="微软雅黑" w:hAnsi="微软雅黑" w:eastAsia="微软雅黑" w:cs="微软雅黑"/>
                        <w:sz w:val="21"/>
                        <w:szCs w:val="21"/>
                        <w:lang w:eastAsia="zh-CN"/>
                      </w:rPr>
                      <w:fldChar w:fldCharType="end"/>
                    </w:r>
                    <w:r>
                      <w:rPr>
                        <w:rFonts w:hint="eastAsia" w:ascii="微软雅黑" w:hAnsi="微软雅黑" w:eastAsia="微软雅黑" w:cs="微软雅黑"/>
                        <w:sz w:val="21"/>
                        <w:szCs w:val="21"/>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3962400" cy="3962400"/>
          <wp:effectExtent l="0" t="0" r="0" b="0"/>
          <wp:wrapNone/>
          <wp:docPr id="4" name="WordPictureWatermark16954704" descr="logos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6954704" descr="logosy6"/>
                  <pic:cNvPicPr>
                    <a:picLocks noChangeAspect="1"/>
                  </pic:cNvPicPr>
                </pic:nvPicPr>
                <pic:blipFill>
                  <a:blip r:embed="rId1"/>
                  <a:stretch>
                    <a:fillRect/>
                  </a:stretch>
                </pic:blipFill>
                <pic:spPr>
                  <a:xfrm>
                    <a:off x="0" y="0"/>
                    <a:ext cx="3962400" cy="396240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3962400" cy="3962400"/>
          <wp:effectExtent l="0" t="0" r="0" b="0"/>
          <wp:wrapNone/>
          <wp:docPr id="1" name="WordPictureWatermark16954703" descr="logos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6954703" descr="logosy6"/>
                  <pic:cNvPicPr>
                    <a:picLocks noChangeAspect="1"/>
                  </pic:cNvPicPr>
                </pic:nvPicPr>
                <pic:blipFill>
                  <a:blip r:embed="rId1"/>
                  <a:stretch>
                    <a:fillRect/>
                  </a:stretch>
                </pic:blipFill>
                <pic:spPr>
                  <a:xfrm>
                    <a:off x="0" y="0"/>
                    <a:ext cx="3962400" cy="396240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374C6"/>
    <w:multiLevelType w:val="singleLevel"/>
    <w:tmpl w:val="B15374C6"/>
    <w:lvl w:ilvl="0" w:tentative="0">
      <w:start w:val="1"/>
      <w:numFmt w:val="decimal"/>
      <w:lvlText w:val="(%1)"/>
      <w:lvlJc w:val="left"/>
      <w:pPr>
        <w:ind w:left="425" w:hanging="425"/>
      </w:pPr>
      <w:rPr>
        <w:rFonts w:hint="default"/>
      </w:rPr>
    </w:lvl>
  </w:abstractNum>
  <w:abstractNum w:abstractNumId="1">
    <w:nsid w:val="E7A513ED"/>
    <w:multiLevelType w:val="multilevel"/>
    <w:tmpl w:val="E7A513ED"/>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795EB85B"/>
    <w:multiLevelType w:val="singleLevel"/>
    <w:tmpl w:val="795EB85B"/>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2IzNDhhMjRlZWVkN2Y4YzY2NGE4ODA4OTY4MjQifQ=="/>
  </w:docVars>
  <w:rsids>
    <w:rsidRoot w:val="5CE42EC8"/>
    <w:rsid w:val="00062871"/>
    <w:rsid w:val="000F0F99"/>
    <w:rsid w:val="000F6A58"/>
    <w:rsid w:val="00147EBF"/>
    <w:rsid w:val="001726D1"/>
    <w:rsid w:val="001B112B"/>
    <w:rsid w:val="001E3B3C"/>
    <w:rsid w:val="001E6193"/>
    <w:rsid w:val="002522BF"/>
    <w:rsid w:val="00261993"/>
    <w:rsid w:val="00263D34"/>
    <w:rsid w:val="003A762C"/>
    <w:rsid w:val="0040218F"/>
    <w:rsid w:val="00426D84"/>
    <w:rsid w:val="004C3DE3"/>
    <w:rsid w:val="004D3DD1"/>
    <w:rsid w:val="004D6D1F"/>
    <w:rsid w:val="00590332"/>
    <w:rsid w:val="005A3174"/>
    <w:rsid w:val="006825C5"/>
    <w:rsid w:val="006D7133"/>
    <w:rsid w:val="00735681"/>
    <w:rsid w:val="00772B3B"/>
    <w:rsid w:val="007954E4"/>
    <w:rsid w:val="00903A0A"/>
    <w:rsid w:val="00913A43"/>
    <w:rsid w:val="00957A79"/>
    <w:rsid w:val="009D796F"/>
    <w:rsid w:val="00A0148B"/>
    <w:rsid w:val="00A218EE"/>
    <w:rsid w:val="00A50DA4"/>
    <w:rsid w:val="00C753F3"/>
    <w:rsid w:val="00CC20AF"/>
    <w:rsid w:val="00CE344A"/>
    <w:rsid w:val="00E032CB"/>
    <w:rsid w:val="00E05B18"/>
    <w:rsid w:val="00E40BE5"/>
    <w:rsid w:val="00E9228A"/>
    <w:rsid w:val="0131463D"/>
    <w:rsid w:val="01557D13"/>
    <w:rsid w:val="01F80ABF"/>
    <w:rsid w:val="021B797D"/>
    <w:rsid w:val="02793903"/>
    <w:rsid w:val="027C007E"/>
    <w:rsid w:val="02B27A49"/>
    <w:rsid w:val="0375762F"/>
    <w:rsid w:val="0381345A"/>
    <w:rsid w:val="03A31D21"/>
    <w:rsid w:val="03A53669"/>
    <w:rsid w:val="03CB1F2A"/>
    <w:rsid w:val="048C6B9E"/>
    <w:rsid w:val="04FA7506"/>
    <w:rsid w:val="05301D3D"/>
    <w:rsid w:val="053F1D78"/>
    <w:rsid w:val="066C66C4"/>
    <w:rsid w:val="068C7DB5"/>
    <w:rsid w:val="06B076DB"/>
    <w:rsid w:val="07161E34"/>
    <w:rsid w:val="07265FF3"/>
    <w:rsid w:val="088134F0"/>
    <w:rsid w:val="09344990"/>
    <w:rsid w:val="0A8E075D"/>
    <w:rsid w:val="0B3F3B47"/>
    <w:rsid w:val="0B8B1A41"/>
    <w:rsid w:val="0BCE3CDE"/>
    <w:rsid w:val="0C341B6E"/>
    <w:rsid w:val="0CC12FBC"/>
    <w:rsid w:val="0CC331F7"/>
    <w:rsid w:val="0D602A94"/>
    <w:rsid w:val="0E20109C"/>
    <w:rsid w:val="0EB507D0"/>
    <w:rsid w:val="0EC10149"/>
    <w:rsid w:val="0F5A6EF2"/>
    <w:rsid w:val="0F7470AF"/>
    <w:rsid w:val="0FAB536B"/>
    <w:rsid w:val="0FAF261B"/>
    <w:rsid w:val="0FEA5538"/>
    <w:rsid w:val="0FF21632"/>
    <w:rsid w:val="10E10ACA"/>
    <w:rsid w:val="112A267F"/>
    <w:rsid w:val="113F098B"/>
    <w:rsid w:val="1145741A"/>
    <w:rsid w:val="11C44088"/>
    <w:rsid w:val="11F8494F"/>
    <w:rsid w:val="123D0CF7"/>
    <w:rsid w:val="12532249"/>
    <w:rsid w:val="12C03601"/>
    <w:rsid w:val="138201F0"/>
    <w:rsid w:val="13975A19"/>
    <w:rsid w:val="1430072C"/>
    <w:rsid w:val="14330D61"/>
    <w:rsid w:val="149A7986"/>
    <w:rsid w:val="14AB7964"/>
    <w:rsid w:val="151F2054"/>
    <w:rsid w:val="152C2AFD"/>
    <w:rsid w:val="15971811"/>
    <w:rsid w:val="15C00C9F"/>
    <w:rsid w:val="162B7902"/>
    <w:rsid w:val="16B3720C"/>
    <w:rsid w:val="172617C1"/>
    <w:rsid w:val="17442ED9"/>
    <w:rsid w:val="17453B66"/>
    <w:rsid w:val="175F12D1"/>
    <w:rsid w:val="178F0A6E"/>
    <w:rsid w:val="179F0CBE"/>
    <w:rsid w:val="17BC6584"/>
    <w:rsid w:val="184263BF"/>
    <w:rsid w:val="18633E47"/>
    <w:rsid w:val="188B656C"/>
    <w:rsid w:val="18A862CA"/>
    <w:rsid w:val="18B52B81"/>
    <w:rsid w:val="18E070DF"/>
    <w:rsid w:val="19081BE6"/>
    <w:rsid w:val="194F05B3"/>
    <w:rsid w:val="199925AB"/>
    <w:rsid w:val="19A135A7"/>
    <w:rsid w:val="19AE5C60"/>
    <w:rsid w:val="1A653468"/>
    <w:rsid w:val="1A7B45C2"/>
    <w:rsid w:val="1A7E5056"/>
    <w:rsid w:val="1ABC1CA6"/>
    <w:rsid w:val="1AE73B64"/>
    <w:rsid w:val="1B5B10EC"/>
    <w:rsid w:val="1B9F4209"/>
    <w:rsid w:val="1BFD622C"/>
    <w:rsid w:val="1D1A3945"/>
    <w:rsid w:val="1D1C7895"/>
    <w:rsid w:val="1D367301"/>
    <w:rsid w:val="1D753BF8"/>
    <w:rsid w:val="1DAD60A4"/>
    <w:rsid w:val="1DF23B6A"/>
    <w:rsid w:val="1E3E12D1"/>
    <w:rsid w:val="1EA619D7"/>
    <w:rsid w:val="1EF74DC4"/>
    <w:rsid w:val="1F6F0B95"/>
    <w:rsid w:val="20BF76C0"/>
    <w:rsid w:val="22363FBE"/>
    <w:rsid w:val="227E1BA3"/>
    <w:rsid w:val="22DA0E27"/>
    <w:rsid w:val="2338744B"/>
    <w:rsid w:val="23E55617"/>
    <w:rsid w:val="245B25FE"/>
    <w:rsid w:val="24CD4CE4"/>
    <w:rsid w:val="24F50997"/>
    <w:rsid w:val="25DE46A8"/>
    <w:rsid w:val="25FF67BF"/>
    <w:rsid w:val="261A2A8A"/>
    <w:rsid w:val="261F56C6"/>
    <w:rsid w:val="26412065"/>
    <w:rsid w:val="26696192"/>
    <w:rsid w:val="26C270E6"/>
    <w:rsid w:val="27037402"/>
    <w:rsid w:val="270C6232"/>
    <w:rsid w:val="2713603D"/>
    <w:rsid w:val="27A26B78"/>
    <w:rsid w:val="28430290"/>
    <w:rsid w:val="28E73A2F"/>
    <w:rsid w:val="28E841BA"/>
    <w:rsid w:val="2A5C38DB"/>
    <w:rsid w:val="2A6E3FCF"/>
    <w:rsid w:val="2B495DCA"/>
    <w:rsid w:val="2B7C5B78"/>
    <w:rsid w:val="2BAF0CA7"/>
    <w:rsid w:val="2BB547E4"/>
    <w:rsid w:val="2D2F3406"/>
    <w:rsid w:val="2D425742"/>
    <w:rsid w:val="2D6874E6"/>
    <w:rsid w:val="2D850A80"/>
    <w:rsid w:val="2DF0444C"/>
    <w:rsid w:val="2E1B403A"/>
    <w:rsid w:val="2E350DF6"/>
    <w:rsid w:val="2E3631E9"/>
    <w:rsid w:val="2F6018DB"/>
    <w:rsid w:val="2F7B04A6"/>
    <w:rsid w:val="2F967C46"/>
    <w:rsid w:val="2FA86F0D"/>
    <w:rsid w:val="2FAC2AD6"/>
    <w:rsid w:val="2FE42AFE"/>
    <w:rsid w:val="30F65FAA"/>
    <w:rsid w:val="31967AFE"/>
    <w:rsid w:val="31CC24AD"/>
    <w:rsid w:val="324C44C0"/>
    <w:rsid w:val="332B1C84"/>
    <w:rsid w:val="33342D79"/>
    <w:rsid w:val="33B07E43"/>
    <w:rsid w:val="343D457B"/>
    <w:rsid w:val="34492FF0"/>
    <w:rsid w:val="34BA2130"/>
    <w:rsid w:val="34EC71A1"/>
    <w:rsid w:val="35B91680"/>
    <w:rsid w:val="35DF3AFE"/>
    <w:rsid w:val="35FC7C4A"/>
    <w:rsid w:val="363C2EB4"/>
    <w:rsid w:val="36734C4F"/>
    <w:rsid w:val="368C262C"/>
    <w:rsid w:val="36F35F7D"/>
    <w:rsid w:val="37470267"/>
    <w:rsid w:val="374C7261"/>
    <w:rsid w:val="37D53AEF"/>
    <w:rsid w:val="38376E60"/>
    <w:rsid w:val="384817EE"/>
    <w:rsid w:val="38906322"/>
    <w:rsid w:val="397635F3"/>
    <w:rsid w:val="3AB2249B"/>
    <w:rsid w:val="3ABE0B6A"/>
    <w:rsid w:val="3B5D5D24"/>
    <w:rsid w:val="3B8F31AD"/>
    <w:rsid w:val="3BC966FE"/>
    <w:rsid w:val="3C34642C"/>
    <w:rsid w:val="3C4A4A75"/>
    <w:rsid w:val="3C5A2DF0"/>
    <w:rsid w:val="3CAC2CD9"/>
    <w:rsid w:val="3CEC2B4A"/>
    <w:rsid w:val="3D0A2762"/>
    <w:rsid w:val="3D394C6B"/>
    <w:rsid w:val="3D617045"/>
    <w:rsid w:val="3D8120DD"/>
    <w:rsid w:val="3D9E34A6"/>
    <w:rsid w:val="3DC12477"/>
    <w:rsid w:val="3DED1145"/>
    <w:rsid w:val="3E0B0CDF"/>
    <w:rsid w:val="3E8E3ACF"/>
    <w:rsid w:val="3EAC2CCC"/>
    <w:rsid w:val="3EAF2EBA"/>
    <w:rsid w:val="3EF767CB"/>
    <w:rsid w:val="3FEF37EC"/>
    <w:rsid w:val="400A08A0"/>
    <w:rsid w:val="401168EC"/>
    <w:rsid w:val="40653F74"/>
    <w:rsid w:val="409B7797"/>
    <w:rsid w:val="41BF1858"/>
    <w:rsid w:val="42262558"/>
    <w:rsid w:val="427A62FE"/>
    <w:rsid w:val="42AA175C"/>
    <w:rsid w:val="42AA645A"/>
    <w:rsid w:val="42DB2E64"/>
    <w:rsid w:val="42F707C7"/>
    <w:rsid w:val="435461B4"/>
    <w:rsid w:val="43CE618B"/>
    <w:rsid w:val="43E02CA0"/>
    <w:rsid w:val="44186E91"/>
    <w:rsid w:val="44507738"/>
    <w:rsid w:val="44754ADD"/>
    <w:rsid w:val="448D45FB"/>
    <w:rsid w:val="44AB45E2"/>
    <w:rsid w:val="44F57BAE"/>
    <w:rsid w:val="44F72739"/>
    <w:rsid w:val="44FA184A"/>
    <w:rsid w:val="46446A17"/>
    <w:rsid w:val="46495E71"/>
    <w:rsid w:val="46BF503B"/>
    <w:rsid w:val="46EC1BB1"/>
    <w:rsid w:val="471A1C80"/>
    <w:rsid w:val="47304969"/>
    <w:rsid w:val="47406865"/>
    <w:rsid w:val="479C043E"/>
    <w:rsid w:val="47A70FBB"/>
    <w:rsid w:val="47D05AAE"/>
    <w:rsid w:val="481B58C6"/>
    <w:rsid w:val="4873607C"/>
    <w:rsid w:val="487419F5"/>
    <w:rsid w:val="48A453C3"/>
    <w:rsid w:val="48A56BA1"/>
    <w:rsid w:val="48B37D75"/>
    <w:rsid w:val="495F63A7"/>
    <w:rsid w:val="497442DE"/>
    <w:rsid w:val="49885E2F"/>
    <w:rsid w:val="49CC5C75"/>
    <w:rsid w:val="49D24A35"/>
    <w:rsid w:val="49D96779"/>
    <w:rsid w:val="49F04E79"/>
    <w:rsid w:val="4AA7055B"/>
    <w:rsid w:val="4AE85471"/>
    <w:rsid w:val="4C5421D2"/>
    <w:rsid w:val="4C9C2739"/>
    <w:rsid w:val="4CD3074E"/>
    <w:rsid w:val="4D0B534B"/>
    <w:rsid w:val="4D777FC6"/>
    <w:rsid w:val="4D810879"/>
    <w:rsid w:val="4E2B104B"/>
    <w:rsid w:val="4E49311B"/>
    <w:rsid w:val="4E5A4478"/>
    <w:rsid w:val="4EB9538F"/>
    <w:rsid w:val="4EC73005"/>
    <w:rsid w:val="4F1D70A4"/>
    <w:rsid w:val="4F4A2EDE"/>
    <w:rsid w:val="4F7114ED"/>
    <w:rsid w:val="4F8E64BF"/>
    <w:rsid w:val="4FEF3221"/>
    <w:rsid w:val="50835DBC"/>
    <w:rsid w:val="50BE7917"/>
    <w:rsid w:val="514D209D"/>
    <w:rsid w:val="517A7E97"/>
    <w:rsid w:val="518110A8"/>
    <w:rsid w:val="51D87171"/>
    <w:rsid w:val="51E4556D"/>
    <w:rsid w:val="5232710B"/>
    <w:rsid w:val="524F3A92"/>
    <w:rsid w:val="52901DA4"/>
    <w:rsid w:val="52BC4F72"/>
    <w:rsid w:val="52D90BC2"/>
    <w:rsid w:val="531052DB"/>
    <w:rsid w:val="531F643E"/>
    <w:rsid w:val="53280CEF"/>
    <w:rsid w:val="53985D7F"/>
    <w:rsid w:val="54304326"/>
    <w:rsid w:val="54D577D6"/>
    <w:rsid w:val="54FF49DB"/>
    <w:rsid w:val="55AD7AF3"/>
    <w:rsid w:val="562A0CE2"/>
    <w:rsid w:val="562E759A"/>
    <w:rsid w:val="565219D0"/>
    <w:rsid w:val="566A4D0A"/>
    <w:rsid w:val="56716180"/>
    <w:rsid w:val="567E302B"/>
    <w:rsid w:val="56E51EE8"/>
    <w:rsid w:val="57D3769F"/>
    <w:rsid w:val="582A5CD7"/>
    <w:rsid w:val="58772280"/>
    <w:rsid w:val="58BA754B"/>
    <w:rsid w:val="5A213905"/>
    <w:rsid w:val="5A391EDE"/>
    <w:rsid w:val="5A6F7E8A"/>
    <w:rsid w:val="5B2C69BE"/>
    <w:rsid w:val="5B322E08"/>
    <w:rsid w:val="5B881000"/>
    <w:rsid w:val="5BCF0D11"/>
    <w:rsid w:val="5C2A1834"/>
    <w:rsid w:val="5C5E498A"/>
    <w:rsid w:val="5CE42EC8"/>
    <w:rsid w:val="5D4311F1"/>
    <w:rsid w:val="5D5963D5"/>
    <w:rsid w:val="5DCA244C"/>
    <w:rsid w:val="5E43398E"/>
    <w:rsid w:val="5E5A18DD"/>
    <w:rsid w:val="5E6E31E7"/>
    <w:rsid w:val="5F3B0578"/>
    <w:rsid w:val="5F601921"/>
    <w:rsid w:val="5F76395B"/>
    <w:rsid w:val="5FE64CEC"/>
    <w:rsid w:val="5FED21B1"/>
    <w:rsid w:val="60641F6C"/>
    <w:rsid w:val="60D778A1"/>
    <w:rsid w:val="60F929BB"/>
    <w:rsid w:val="61104082"/>
    <w:rsid w:val="61573B07"/>
    <w:rsid w:val="629673EF"/>
    <w:rsid w:val="63417E12"/>
    <w:rsid w:val="63BF25A1"/>
    <w:rsid w:val="64792018"/>
    <w:rsid w:val="64AD4DB4"/>
    <w:rsid w:val="64D25989"/>
    <w:rsid w:val="652E12C9"/>
    <w:rsid w:val="654410D5"/>
    <w:rsid w:val="658609AA"/>
    <w:rsid w:val="66052C3D"/>
    <w:rsid w:val="66144C0D"/>
    <w:rsid w:val="661B3EA8"/>
    <w:rsid w:val="6670249A"/>
    <w:rsid w:val="66813040"/>
    <w:rsid w:val="66E22669"/>
    <w:rsid w:val="66EE61CA"/>
    <w:rsid w:val="67C63EBE"/>
    <w:rsid w:val="67E83200"/>
    <w:rsid w:val="68651704"/>
    <w:rsid w:val="68BD7D36"/>
    <w:rsid w:val="6928323F"/>
    <w:rsid w:val="695A3256"/>
    <w:rsid w:val="69AB352F"/>
    <w:rsid w:val="69D728A0"/>
    <w:rsid w:val="69DB5D53"/>
    <w:rsid w:val="69EF4D33"/>
    <w:rsid w:val="69F24A37"/>
    <w:rsid w:val="6A791991"/>
    <w:rsid w:val="6A8A77D9"/>
    <w:rsid w:val="6AD11C21"/>
    <w:rsid w:val="6AD22837"/>
    <w:rsid w:val="6AF979B5"/>
    <w:rsid w:val="6B004AB7"/>
    <w:rsid w:val="6B1A7D29"/>
    <w:rsid w:val="6B390792"/>
    <w:rsid w:val="6BBC472D"/>
    <w:rsid w:val="6BBD1D5A"/>
    <w:rsid w:val="6BFB6DEC"/>
    <w:rsid w:val="6C196467"/>
    <w:rsid w:val="6C385CB2"/>
    <w:rsid w:val="6C76781E"/>
    <w:rsid w:val="6CB635B6"/>
    <w:rsid w:val="6CEF1C82"/>
    <w:rsid w:val="6D0B2B1A"/>
    <w:rsid w:val="6D3F1719"/>
    <w:rsid w:val="6D535020"/>
    <w:rsid w:val="6DB534DD"/>
    <w:rsid w:val="6DFA0750"/>
    <w:rsid w:val="6DFA464C"/>
    <w:rsid w:val="6DFD37FD"/>
    <w:rsid w:val="6E0D7E6C"/>
    <w:rsid w:val="6E0F2BFC"/>
    <w:rsid w:val="6E142442"/>
    <w:rsid w:val="6E2121A8"/>
    <w:rsid w:val="6EA84BCF"/>
    <w:rsid w:val="6EDA5E91"/>
    <w:rsid w:val="6EF06B04"/>
    <w:rsid w:val="6F4F1D5B"/>
    <w:rsid w:val="6F7C26BF"/>
    <w:rsid w:val="6F9215E3"/>
    <w:rsid w:val="6FB01DE0"/>
    <w:rsid w:val="7025278C"/>
    <w:rsid w:val="703E6C09"/>
    <w:rsid w:val="7092775F"/>
    <w:rsid w:val="70960A14"/>
    <w:rsid w:val="70D874E1"/>
    <w:rsid w:val="70E7774C"/>
    <w:rsid w:val="70ED3079"/>
    <w:rsid w:val="72056BAC"/>
    <w:rsid w:val="720F2816"/>
    <w:rsid w:val="72123764"/>
    <w:rsid w:val="723438BE"/>
    <w:rsid w:val="72816063"/>
    <w:rsid w:val="72AC5536"/>
    <w:rsid w:val="72CF0529"/>
    <w:rsid w:val="734425F9"/>
    <w:rsid w:val="73562113"/>
    <w:rsid w:val="743E2E1D"/>
    <w:rsid w:val="7459278D"/>
    <w:rsid w:val="74D21A0B"/>
    <w:rsid w:val="75394CBB"/>
    <w:rsid w:val="75B8296E"/>
    <w:rsid w:val="75FC0C2A"/>
    <w:rsid w:val="76334891"/>
    <w:rsid w:val="7714556A"/>
    <w:rsid w:val="773F1EE2"/>
    <w:rsid w:val="77555845"/>
    <w:rsid w:val="777E0D10"/>
    <w:rsid w:val="77924BC2"/>
    <w:rsid w:val="77E4406A"/>
    <w:rsid w:val="78167FB8"/>
    <w:rsid w:val="781B4591"/>
    <w:rsid w:val="78713EC0"/>
    <w:rsid w:val="78B610CC"/>
    <w:rsid w:val="796D3649"/>
    <w:rsid w:val="79F31D8C"/>
    <w:rsid w:val="7B6C649A"/>
    <w:rsid w:val="7C3817AB"/>
    <w:rsid w:val="7C917F9E"/>
    <w:rsid w:val="7CC93380"/>
    <w:rsid w:val="7D731182"/>
    <w:rsid w:val="7DD86E32"/>
    <w:rsid w:val="7DED7D32"/>
    <w:rsid w:val="7DF064BB"/>
    <w:rsid w:val="7F4D31F3"/>
    <w:rsid w:val="7FA12598"/>
    <w:rsid w:val="7FC536F3"/>
    <w:rsid w:val="7FD452F7"/>
    <w:rsid w:val="7FEB50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35"/>
    <w:qFormat/>
    <w:locked/>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numPr>
        <w:ilvl w:val="1"/>
        <w:numId w:val="1"/>
      </w:numPr>
      <w:spacing w:before="100" w:beforeAutospacing="1" w:line="360" w:lineRule="auto"/>
      <w:jc w:val="left"/>
      <w:outlineLvl w:val="1"/>
    </w:pPr>
    <w:rPr>
      <w:rFonts w:ascii="Arial" w:hAnsi="Arial" w:eastAsia="黑体" w:cs="Arial"/>
      <w:b/>
      <w:bCs/>
      <w:sz w:val="28"/>
      <w:szCs w:val="28"/>
    </w:rPr>
  </w:style>
  <w:style w:type="paragraph" w:styleId="5">
    <w:name w:val="heading 3"/>
    <w:basedOn w:val="1"/>
    <w:next w:val="1"/>
    <w:unhideWhenUsed/>
    <w:qFormat/>
    <w:locked/>
    <w:uiPriority w:val="0"/>
    <w:pPr>
      <w:keepNext/>
      <w:keepLines/>
      <w:numPr>
        <w:ilvl w:val="2"/>
        <w:numId w:val="1"/>
      </w:numPr>
      <w:spacing w:before="100"/>
      <w:ind w:left="0" w:firstLine="400"/>
      <w:jc w:val="left"/>
      <w:outlineLvl w:val="2"/>
    </w:pPr>
    <w:rPr>
      <w:rFonts w:ascii="微软雅黑" w:hAnsi="微软雅黑" w:cs="微软雅黑"/>
      <w:b/>
      <w:bCs/>
      <w:sz w:val="32"/>
      <w:szCs w:val="32"/>
    </w:rPr>
  </w:style>
  <w:style w:type="paragraph" w:styleId="6">
    <w:name w:val="heading 4"/>
    <w:basedOn w:val="1"/>
    <w:next w:val="1"/>
    <w:semiHidden/>
    <w:unhideWhenUsed/>
    <w:qFormat/>
    <w:locked/>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locked/>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locked/>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locked/>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locked/>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locked/>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customStyle="1" w:styleId="2">
    <w:name w:val="正文 "/>
    <w:basedOn w:val="1"/>
    <w:uiPriority w:val="0"/>
    <w:pPr>
      <w:widowControl w:val="0"/>
      <w:adjustRightInd w:val="0"/>
      <w:spacing w:line="318" w:lineRule="atLeast"/>
      <w:ind w:left="369" w:firstLine="369"/>
      <w:jc w:val="both"/>
      <w:textAlignment w:val="baseline"/>
    </w:pPr>
    <w:rPr>
      <w:rFonts w:ascii="宋体"/>
      <w:sz w:val="21"/>
      <w:szCs w:val="20"/>
    </w:rPr>
  </w:style>
  <w:style w:type="paragraph" w:styleId="12">
    <w:name w:val="Normal Indent"/>
    <w:basedOn w:val="1"/>
    <w:next w:val="1"/>
    <w:qFormat/>
    <w:uiPriority w:val="99"/>
    <w:pPr>
      <w:widowControl/>
      <w:spacing w:line="240" w:lineRule="auto"/>
      <w:ind w:firstLine="420" w:firstLineChars="200"/>
      <w:jc w:val="left"/>
    </w:pPr>
    <w:rPr>
      <w:rFonts w:eastAsia="宋体"/>
      <w:kern w:val="0"/>
      <w:sz w:val="20"/>
      <w:szCs w:val="24"/>
    </w:rPr>
  </w:style>
  <w:style w:type="paragraph" w:styleId="13">
    <w:name w:val="Body Text"/>
    <w:basedOn w:val="1"/>
    <w:link w:val="26"/>
    <w:qFormat/>
    <w:uiPriority w:val="99"/>
    <w:pPr>
      <w:spacing w:before="105"/>
      <w:ind w:left="1288"/>
    </w:pPr>
    <w:rPr>
      <w:rFonts w:ascii="宋体" w:hAnsi="宋体" w:cs="宋体"/>
      <w:lang w:val="zh-CN"/>
    </w:rPr>
  </w:style>
  <w:style w:type="paragraph" w:styleId="14">
    <w:name w:val="Body Text Indent"/>
    <w:basedOn w:val="1"/>
    <w:qFormat/>
    <w:uiPriority w:val="0"/>
    <w:pPr>
      <w:adjustRightInd/>
      <w:spacing w:after="120"/>
      <w:ind w:left="420" w:leftChars="200"/>
    </w:pPr>
    <w:rPr>
      <w:rFonts w:ascii="Times New Roman" w:hAnsi="Times New Roman" w:cs="Times New Roman"/>
      <w:szCs w:val="24"/>
    </w:rPr>
  </w:style>
  <w:style w:type="paragraph" w:styleId="15">
    <w:name w:val="Date"/>
    <w:basedOn w:val="1"/>
    <w:next w:val="1"/>
    <w:link w:val="31"/>
    <w:qFormat/>
    <w:uiPriority w:val="99"/>
    <w:pPr>
      <w:ind w:left="100" w:leftChars="2500"/>
    </w:pPr>
  </w:style>
  <w:style w:type="paragraph" w:styleId="16">
    <w:name w:val="Balloon Text"/>
    <w:basedOn w:val="1"/>
    <w:link w:val="32"/>
    <w:semiHidden/>
    <w:unhideWhenUsed/>
    <w:qFormat/>
    <w:uiPriority w:val="99"/>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9">
    <w:name w:val="toc 1"/>
    <w:basedOn w:val="1"/>
    <w:next w:val="1"/>
    <w:qFormat/>
    <w:locked/>
    <w:uiPriority w:val="0"/>
  </w:style>
  <w:style w:type="paragraph" w:styleId="20">
    <w:name w:val="toc 2"/>
    <w:basedOn w:val="1"/>
    <w:next w:val="1"/>
    <w:qFormat/>
    <w:locked/>
    <w:uiPriority w:val="0"/>
    <w:pPr>
      <w:ind w:left="420" w:leftChars="200"/>
    </w:pPr>
  </w:style>
  <w:style w:type="paragraph" w:styleId="21">
    <w:name w:val="Body Text First Indent"/>
    <w:basedOn w:val="13"/>
    <w:unhideWhenUsed/>
    <w:qFormat/>
    <w:uiPriority w:val="99"/>
    <w:pPr>
      <w:ind w:firstLine="420" w:firstLineChars="100"/>
    </w:pPr>
  </w:style>
  <w:style w:type="table" w:styleId="23">
    <w:name w:val="Table Grid"/>
    <w:basedOn w:val="22"/>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2 字符"/>
    <w:link w:val="4"/>
    <w:semiHidden/>
    <w:qFormat/>
    <w:locked/>
    <w:uiPriority w:val="99"/>
    <w:rPr>
      <w:rFonts w:ascii="Cambria" w:hAnsi="Cambria" w:eastAsia="宋体" w:cs="Cambria"/>
      <w:b/>
      <w:bCs/>
      <w:sz w:val="32"/>
      <w:szCs w:val="32"/>
    </w:rPr>
  </w:style>
  <w:style w:type="character" w:customStyle="1" w:styleId="26">
    <w:name w:val="正文文本 字符"/>
    <w:link w:val="13"/>
    <w:semiHidden/>
    <w:qFormat/>
    <w:locked/>
    <w:uiPriority w:val="99"/>
    <w:rPr>
      <w:sz w:val="21"/>
      <w:szCs w:val="21"/>
    </w:rPr>
  </w:style>
  <w:style w:type="character" w:customStyle="1" w:styleId="27">
    <w:name w:val="页脚 字符"/>
    <w:link w:val="17"/>
    <w:semiHidden/>
    <w:qFormat/>
    <w:locked/>
    <w:uiPriority w:val="99"/>
    <w:rPr>
      <w:sz w:val="18"/>
      <w:szCs w:val="18"/>
    </w:rPr>
  </w:style>
  <w:style w:type="character" w:customStyle="1" w:styleId="28">
    <w:name w:val="页眉 字符"/>
    <w:link w:val="18"/>
    <w:semiHidden/>
    <w:qFormat/>
    <w:locked/>
    <w:uiPriority w:val="99"/>
    <w:rPr>
      <w:sz w:val="18"/>
      <w:szCs w:val="18"/>
    </w:rPr>
  </w:style>
  <w:style w:type="paragraph" w:customStyle="1" w:styleId="29">
    <w:name w:val="Table Paragraph"/>
    <w:basedOn w:val="1"/>
    <w:qFormat/>
    <w:uiPriority w:val="99"/>
    <w:pPr>
      <w:ind w:left="527"/>
    </w:pPr>
    <w:rPr>
      <w:rFonts w:ascii="宋体" w:hAnsi="宋体" w:cs="宋体"/>
      <w:lang w:val="zh-CN"/>
    </w:rPr>
  </w:style>
  <w:style w:type="paragraph" w:styleId="30">
    <w:name w:val="List Paragraph"/>
    <w:basedOn w:val="1"/>
    <w:qFormat/>
    <w:uiPriority w:val="99"/>
    <w:pPr>
      <w:spacing w:before="105"/>
      <w:ind w:left="1288" w:hanging="643"/>
    </w:pPr>
    <w:rPr>
      <w:rFonts w:ascii="宋体" w:hAnsi="宋体" w:cs="宋体"/>
      <w:lang w:val="zh-CN"/>
    </w:rPr>
  </w:style>
  <w:style w:type="character" w:customStyle="1" w:styleId="31">
    <w:name w:val="日期 字符"/>
    <w:link w:val="15"/>
    <w:semiHidden/>
    <w:qFormat/>
    <w:uiPriority w:val="99"/>
    <w:rPr>
      <w:rFonts w:cs="Calibri"/>
      <w:szCs w:val="21"/>
    </w:rPr>
  </w:style>
  <w:style w:type="character" w:customStyle="1" w:styleId="32">
    <w:name w:val="批注框文本 字符"/>
    <w:link w:val="16"/>
    <w:semiHidden/>
    <w:qFormat/>
    <w:uiPriority w:val="99"/>
    <w:rPr>
      <w:rFonts w:cs="Calibri"/>
      <w:kern w:val="2"/>
      <w:sz w:val="18"/>
      <w:szCs w:val="18"/>
    </w:rPr>
  </w:style>
  <w:style w:type="character" w:customStyle="1" w:styleId="33">
    <w:name w:val="NormalCharacter"/>
    <w:semiHidden/>
    <w:qFormat/>
    <w:uiPriority w:val="0"/>
  </w:style>
  <w:style w:type="paragraph" w:customStyle="1" w:styleId="34">
    <w:name w:val="UserStyle_16"/>
    <w:basedOn w:val="1"/>
    <w:qFormat/>
    <w:uiPriority w:val="0"/>
    <w:pPr>
      <w:widowControl/>
      <w:textAlignment w:val="baseline"/>
    </w:pPr>
    <w:rPr>
      <w:rFonts w:ascii="Times New Roman" w:hAnsi="Times New Roman" w:cstheme="minorBidi"/>
      <w:kern w:val="0"/>
    </w:rPr>
  </w:style>
  <w:style w:type="character" w:customStyle="1" w:styleId="35">
    <w:name w:val="标题 1 字符"/>
    <w:basedOn w:val="24"/>
    <w:link w:val="3"/>
    <w:qFormat/>
    <w:uiPriority w:val="0"/>
    <w:rPr>
      <w:rFonts w:ascii="Calibri" w:hAnsi="Calibri" w:cs="Calibri"/>
      <w:b/>
      <w:bCs/>
      <w:kern w:val="44"/>
      <w:sz w:val="44"/>
      <w:szCs w:val="44"/>
    </w:rPr>
  </w:style>
  <w:style w:type="paragraph" w:customStyle="1" w:styleId="36">
    <w:name w:val="WPSOffice手动目录 1"/>
    <w:qFormat/>
    <w:uiPriority w:val="0"/>
    <w:pPr>
      <w:ind w:leftChars="0"/>
    </w:pPr>
    <w:rPr>
      <w:rFonts w:ascii="Times New Roman" w:hAnsi="Times New Roman" w:eastAsia="宋体" w:cstheme="minorBidi"/>
      <w:sz w:val="20"/>
      <w:szCs w:val="20"/>
    </w:rPr>
  </w:style>
  <w:style w:type="paragraph" w:customStyle="1" w:styleId="37">
    <w:name w:val="WPSOffice手动目录 2"/>
    <w:qFormat/>
    <w:uiPriority w:val="0"/>
    <w:pPr>
      <w:ind w:leftChars="200"/>
    </w:pPr>
    <w:rPr>
      <w:rFonts w:ascii="Times New Roman" w:hAnsi="Times New Roman" w:eastAsia="宋体"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7430</Words>
  <Characters>7603</Characters>
  <Lines>1</Lines>
  <Paragraphs>1</Paragraphs>
  <TotalTime>6</TotalTime>
  <ScaleCrop>false</ScaleCrop>
  <LinksUpToDate>false</LinksUpToDate>
  <CharactersWithSpaces>7653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2018-12-05T05:50:00Z</dcterms:created>
  <dc:creator>Administrator</dc:creator>
  <cp:lastModifiedBy>大国崛起</cp:lastModifiedBy>
  <cp:lastPrinted>2018-12-05T05:27:00Z</cp:lastPrinted>
  <dcterms:modified xsi:type="dcterms:W3CDTF">2022-06-24T08:28:01Z</dcterms:modified>
  <dc:title>文件编号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954A4277ACC944B38E84403873684941</vt:lpwstr>
  </property>
</Properties>
</file>